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6"/>
        <w:gridCol w:w="708"/>
        <w:gridCol w:w="375"/>
        <w:gridCol w:w="333"/>
        <w:gridCol w:w="708"/>
        <w:gridCol w:w="708"/>
        <w:gridCol w:w="142"/>
        <w:gridCol w:w="147"/>
        <w:gridCol w:w="419"/>
        <w:gridCol w:w="283"/>
        <w:gridCol w:w="424"/>
        <w:gridCol w:w="425"/>
        <w:gridCol w:w="142"/>
        <w:gridCol w:w="141"/>
        <w:gridCol w:w="419"/>
        <w:gridCol w:w="147"/>
        <w:gridCol w:w="142"/>
        <w:gridCol w:w="708"/>
        <w:gridCol w:w="707"/>
        <w:gridCol w:w="142"/>
        <w:gridCol w:w="566"/>
        <w:gridCol w:w="864"/>
      </w:tblGrid>
      <w:tr w:rsidR="00177F9E" w:rsidRPr="00177F9E" w14:paraId="04F0535D" w14:textId="77777777" w:rsidTr="003377ED">
        <w:trPr>
          <w:trHeight w:val="3959"/>
          <w:jc w:val="center"/>
        </w:trPr>
        <w:tc>
          <w:tcPr>
            <w:tcW w:w="7787" w:type="dxa"/>
            <w:gridSpan w:val="16"/>
          </w:tcPr>
          <w:p w14:paraId="0559AC83"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Nazwa projektu</w:t>
            </w:r>
          </w:p>
          <w:p w14:paraId="7B74A601" w14:textId="71840177" w:rsidR="00177F9E" w:rsidRPr="00177F9E" w:rsidRDefault="00615DAB" w:rsidP="003377ED">
            <w:pPr>
              <w:widowControl w:val="0"/>
              <w:autoSpaceDE w:val="0"/>
              <w:autoSpaceDN w:val="0"/>
              <w:adjustRightInd w:val="0"/>
              <w:spacing w:after="120" w:line="240" w:lineRule="auto"/>
              <w:rPr>
                <w:rFonts w:ascii="Times New Roman" w:eastAsia="Times New Roman" w:hAnsi="Times New Roman" w:cs="Arial"/>
                <w:kern w:val="0"/>
                <w:sz w:val="22"/>
                <w:szCs w:val="22"/>
                <w:lang w:eastAsia="pl-PL"/>
                <w14:ligatures w14:val="none"/>
              </w:rPr>
            </w:pPr>
            <w:bookmarkStart w:id="0" w:name="_Hlk130215339"/>
            <w:r>
              <w:rPr>
                <w:rFonts w:ascii="Times New Roman" w:eastAsia="Times New Roman" w:hAnsi="Times New Roman" w:cs="Arial"/>
                <w:kern w:val="0"/>
                <w:sz w:val="22"/>
                <w:szCs w:val="22"/>
                <w:lang w:eastAsia="pl-PL"/>
                <w14:ligatures w14:val="none"/>
              </w:rPr>
              <w:t>U</w:t>
            </w:r>
            <w:r w:rsidR="00177F9E" w:rsidRPr="00177F9E">
              <w:rPr>
                <w:rFonts w:ascii="Times New Roman" w:eastAsia="Times New Roman" w:hAnsi="Times New Roman" w:cs="Arial"/>
                <w:kern w:val="0"/>
                <w:sz w:val="22"/>
                <w:szCs w:val="22"/>
                <w:lang w:eastAsia="pl-PL"/>
                <w14:ligatures w14:val="none"/>
              </w:rPr>
              <w:t>staw</w:t>
            </w:r>
            <w:r>
              <w:rPr>
                <w:rFonts w:ascii="Times New Roman" w:eastAsia="Times New Roman" w:hAnsi="Times New Roman" w:cs="Arial"/>
                <w:kern w:val="0"/>
                <w:sz w:val="22"/>
                <w:szCs w:val="22"/>
                <w:lang w:eastAsia="pl-PL"/>
                <w14:ligatures w14:val="none"/>
              </w:rPr>
              <w:t>a</w:t>
            </w:r>
            <w:r w:rsidR="00177F9E" w:rsidRPr="00177F9E">
              <w:rPr>
                <w:rFonts w:ascii="Times New Roman" w:eastAsia="Times New Roman" w:hAnsi="Times New Roman" w:cs="Arial"/>
                <w:kern w:val="0"/>
                <w:sz w:val="22"/>
                <w:szCs w:val="22"/>
                <w:lang w:eastAsia="pl-PL"/>
                <w14:ligatures w14:val="none"/>
              </w:rPr>
              <w:t xml:space="preserve"> o zmianie ustawy o nieodpłatnej pomocy prawnej, nieodpłatnym poradnictwie obywatelskim oraz edukacji prawnej </w:t>
            </w:r>
            <w:bookmarkEnd w:id="0"/>
          </w:p>
          <w:p w14:paraId="4511632F"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Ministerstwo wiodące i ministerstwa współpracujące</w:t>
            </w:r>
          </w:p>
          <w:p w14:paraId="50FA08F5" w14:textId="10BDB431" w:rsidR="00177F9E" w:rsidRPr="00177F9E" w:rsidRDefault="00177F9E" w:rsidP="003377ED">
            <w:pPr>
              <w:widowControl w:val="0"/>
              <w:autoSpaceDE w:val="0"/>
              <w:autoSpaceDN w:val="0"/>
              <w:adjustRightInd w:val="0"/>
              <w:spacing w:after="12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Ministerstwo Sprawiedliwości </w:t>
            </w:r>
          </w:p>
          <w:p w14:paraId="23368548"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 xml:space="preserve">Osoba odpowiedzialna za projekt w randze Ministra, Sekretarza Stanu lub Podsekretarza Stanu </w:t>
            </w:r>
          </w:p>
          <w:p w14:paraId="15A19052" w14:textId="1BE287B6" w:rsidR="00177F9E" w:rsidRPr="00177F9E" w:rsidRDefault="00177F9E" w:rsidP="003377ED">
            <w:pPr>
              <w:widowControl w:val="0"/>
              <w:autoSpaceDE w:val="0"/>
              <w:autoSpaceDN w:val="0"/>
              <w:adjustRightInd w:val="0"/>
              <w:spacing w:after="12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Pani Zuzanna Rudzińska-Bluszcz, Podsekretarz Stanu w Ministerstwie Sprawiedliwości </w:t>
            </w:r>
          </w:p>
          <w:p w14:paraId="722A598D"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Kontakt do opiekuna merytorycznego projektu</w:t>
            </w:r>
          </w:p>
          <w:p w14:paraId="5DBA662A" w14:textId="77777777" w:rsidR="00177F9E" w:rsidRPr="00177F9E" w:rsidRDefault="00177F9E" w:rsidP="003377ED">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Marcin Noskowski – Główny Specjalista</w:t>
            </w:r>
          </w:p>
          <w:p w14:paraId="52EE417B" w14:textId="11CA2A05" w:rsidR="00177F9E" w:rsidRPr="00177F9E" w:rsidRDefault="00177F9E" w:rsidP="003377ED">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Wydział Nieodpłatnej Pomocy Prawnej i Poradnictwa Obywatelskiego</w:t>
            </w:r>
          </w:p>
          <w:p w14:paraId="1952FEED" w14:textId="13BAC674" w:rsidR="00177F9E" w:rsidRPr="00177F9E" w:rsidRDefault="00177F9E" w:rsidP="003377ED">
            <w:pPr>
              <w:widowControl w:val="0"/>
              <w:autoSpaceDE w:val="0"/>
              <w:autoSpaceDN w:val="0"/>
              <w:adjustRightInd w:val="0"/>
              <w:spacing w:after="0" w:line="240" w:lineRule="auto"/>
              <w:rPr>
                <w:rFonts w:ascii="Times New Roman" w:eastAsia="Times New Roman" w:hAnsi="Times New Roman" w:cs="Arial"/>
                <w:kern w:val="0"/>
                <w:sz w:val="22"/>
                <w:szCs w:val="22"/>
                <w:lang w:val="en-US" w:eastAsia="pl-PL"/>
                <w14:ligatures w14:val="none"/>
              </w:rPr>
            </w:pPr>
            <w:r w:rsidRPr="00177F9E">
              <w:rPr>
                <w:rFonts w:ascii="Times New Roman" w:eastAsia="Times New Roman" w:hAnsi="Times New Roman" w:cs="Arial"/>
                <w:kern w:val="0"/>
                <w:sz w:val="22"/>
                <w:szCs w:val="22"/>
                <w:lang w:val="en-US" w:eastAsia="pl-PL"/>
                <w14:ligatures w14:val="none"/>
              </w:rPr>
              <w:t>tel.: (22) 23-90-233</w:t>
            </w:r>
          </w:p>
          <w:p w14:paraId="200A8B83"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val="en-US" w:eastAsia="pl-PL"/>
                <w14:ligatures w14:val="none"/>
              </w:rPr>
            </w:pPr>
            <w:r w:rsidRPr="00177F9E">
              <w:rPr>
                <w:rFonts w:ascii="Times New Roman" w:eastAsia="Times New Roman" w:hAnsi="Times New Roman" w:cs="Arial"/>
                <w:kern w:val="0"/>
                <w:sz w:val="22"/>
                <w:szCs w:val="22"/>
                <w:lang w:val="en-US" w:eastAsia="pl-PL"/>
                <w14:ligatures w14:val="none"/>
              </w:rPr>
              <w:t xml:space="preserve">e-mail: </w:t>
            </w:r>
            <w:hyperlink r:id="rId7" w:history="1">
              <w:r w:rsidRPr="00177F9E">
                <w:rPr>
                  <w:rFonts w:ascii="Times New Roman" w:eastAsia="Times New Roman" w:hAnsi="Times New Roman" w:cs="Arial"/>
                  <w:color w:val="0000FF"/>
                  <w:kern w:val="0"/>
                  <w:sz w:val="22"/>
                  <w:szCs w:val="22"/>
                  <w:u w:val="single"/>
                  <w:lang w:val="en-US" w:eastAsia="pl-PL"/>
                  <w14:ligatures w14:val="none"/>
                </w:rPr>
                <w:t>marcin.noskowski@ms.gov.pl</w:t>
              </w:r>
            </w:hyperlink>
            <w:r w:rsidRPr="00177F9E">
              <w:rPr>
                <w:rFonts w:ascii="Times New Roman" w:eastAsia="Times New Roman" w:hAnsi="Times New Roman" w:cs="Arial"/>
                <w:kern w:val="0"/>
                <w:sz w:val="22"/>
                <w:szCs w:val="22"/>
                <w:lang w:val="en-US" w:eastAsia="pl-PL"/>
                <w14:ligatures w14:val="none"/>
              </w:rPr>
              <w:t xml:space="preserve"> </w:t>
            </w:r>
          </w:p>
        </w:tc>
        <w:tc>
          <w:tcPr>
            <w:tcW w:w="3129" w:type="dxa"/>
            <w:gridSpan w:val="6"/>
            <w:shd w:val="clear" w:color="auto" w:fill="FFFFFF"/>
          </w:tcPr>
          <w:p w14:paraId="6AD8E6C9" w14:textId="77777777" w:rsidR="00254FCB" w:rsidRDefault="006F1B53" w:rsidP="00615DAB">
            <w:pPr>
              <w:spacing w:after="0" w:line="240" w:lineRule="auto"/>
              <w:rPr>
                <w:rFonts w:ascii="Times New Roman" w:eastAsia="Calibri" w:hAnsi="Times New Roman" w:cs="Times New Roman"/>
                <w:b/>
                <w:kern w:val="0"/>
                <w:sz w:val="22"/>
                <w:szCs w:val="22"/>
                <w14:ligatures w14:val="none"/>
              </w:rPr>
            </w:pPr>
            <w:r w:rsidRPr="006F1B53">
              <w:rPr>
                <w:rFonts w:ascii="Times New Roman" w:eastAsia="Calibri" w:hAnsi="Times New Roman" w:cs="Times New Roman"/>
                <w:b/>
                <w:kern w:val="0"/>
                <w:sz w:val="22"/>
                <w:szCs w:val="22"/>
                <w14:ligatures w14:val="none"/>
              </w:rPr>
              <w:t>Data sporządzenia:</w:t>
            </w:r>
          </w:p>
          <w:p w14:paraId="08336DAF" w14:textId="1C6BB3AE" w:rsidR="006F1B53" w:rsidRDefault="00E52ACF" w:rsidP="00615DAB">
            <w:pPr>
              <w:spacing w:after="0" w:line="240" w:lineRule="auto"/>
              <w:rPr>
                <w:rFonts w:ascii="Times New Roman" w:eastAsia="Calibri" w:hAnsi="Times New Roman" w:cs="Times New Roman"/>
                <w:color w:val="000000"/>
                <w:kern w:val="0"/>
                <w:sz w:val="22"/>
                <w:szCs w:val="22"/>
                <w14:ligatures w14:val="none"/>
              </w:rPr>
            </w:pPr>
            <w:r>
              <w:rPr>
                <w:rFonts w:ascii="Times New Roman" w:eastAsia="Calibri" w:hAnsi="Times New Roman" w:cs="Times New Roman"/>
                <w:color w:val="000000"/>
                <w:kern w:val="0"/>
                <w:sz w:val="22"/>
                <w:szCs w:val="22"/>
                <w14:ligatures w14:val="none"/>
              </w:rPr>
              <w:t>6</w:t>
            </w:r>
            <w:r w:rsidR="006F1B53" w:rsidRPr="006F1B53">
              <w:rPr>
                <w:rFonts w:ascii="Times New Roman" w:eastAsia="Calibri" w:hAnsi="Times New Roman" w:cs="Times New Roman"/>
                <w:color w:val="000000"/>
                <w:kern w:val="0"/>
                <w:sz w:val="22"/>
                <w:szCs w:val="22"/>
                <w14:ligatures w14:val="none"/>
              </w:rPr>
              <w:t xml:space="preserve"> </w:t>
            </w:r>
            <w:r>
              <w:rPr>
                <w:rFonts w:ascii="Times New Roman" w:eastAsia="Calibri" w:hAnsi="Times New Roman" w:cs="Times New Roman"/>
                <w:color w:val="000000"/>
                <w:kern w:val="0"/>
                <w:sz w:val="22"/>
                <w:szCs w:val="22"/>
                <w14:ligatures w14:val="none"/>
              </w:rPr>
              <w:t>lutego</w:t>
            </w:r>
            <w:r w:rsidR="006F1B53" w:rsidRPr="006F1B53">
              <w:rPr>
                <w:rFonts w:ascii="Times New Roman" w:eastAsia="Calibri" w:hAnsi="Times New Roman" w:cs="Times New Roman"/>
                <w:color w:val="000000"/>
                <w:kern w:val="0"/>
                <w:sz w:val="22"/>
                <w:szCs w:val="22"/>
                <w14:ligatures w14:val="none"/>
              </w:rPr>
              <w:t xml:space="preserve"> 202</w:t>
            </w:r>
            <w:r w:rsidR="006F1B53">
              <w:rPr>
                <w:rFonts w:ascii="Times New Roman" w:eastAsia="Calibri" w:hAnsi="Times New Roman" w:cs="Times New Roman"/>
                <w:color w:val="000000"/>
                <w:kern w:val="0"/>
                <w:sz w:val="22"/>
                <w:szCs w:val="22"/>
                <w14:ligatures w14:val="none"/>
              </w:rPr>
              <w:t>5</w:t>
            </w:r>
            <w:r w:rsidR="006F1B53" w:rsidRPr="006F1B53">
              <w:rPr>
                <w:rFonts w:ascii="Times New Roman" w:eastAsia="Calibri" w:hAnsi="Times New Roman" w:cs="Times New Roman"/>
                <w:color w:val="000000"/>
                <w:kern w:val="0"/>
                <w:sz w:val="22"/>
                <w:szCs w:val="22"/>
                <w14:ligatures w14:val="none"/>
              </w:rPr>
              <w:t xml:space="preserve"> r.</w:t>
            </w:r>
          </w:p>
          <w:p w14:paraId="5608EC72" w14:textId="77777777" w:rsidR="00615DAB" w:rsidRPr="006F1B53" w:rsidRDefault="00615DAB" w:rsidP="00615DAB">
            <w:pPr>
              <w:spacing w:after="0" w:line="240" w:lineRule="auto"/>
              <w:rPr>
                <w:rFonts w:ascii="Times New Roman" w:eastAsia="Calibri" w:hAnsi="Times New Roman" w:cs="Times New Roman"/>
                <w:kern w:val="0"/>
                <w:sz w:val="22"/>
                <w:szCs w:val="22"/>
                <w14:ligatures w14:val="none"/>
              </w:rPr>
            </w:pPr>
          </w:p>
          <w:p w14:paraId="38038BBF" w14:textId="77777777" w:rsidR="006F1B53" w:rsidRPr="006F1B53" w:rsidRDefault="006F1B53" w:rsidP="006F1B53">
            <w:pPr>
              <w:spacing w:after="0" w:line="240" w:lineRule="auto"/>
              <w:rPr>
                <w:rFonts w:ascii="Times New Roman" w:eastAsia="Calibri" w:hAnsi="Times New Roman" w:cs="Times New Roman"/>
                <w:b/>
                <w:kern w:val="0"/>
                <w:sz w:val="22"/>
                <w:szCs w:val="22"/>
                <w14:ligatures w14:val="none"/>
              </w:rPr>
            </w:pPr>
            <w:r w:rsidRPr="006F1B53">
              <w:rPr>
                <w:rFonts w:ascii="Times New Roman" w:eastAsia="Calibri" w:hAnsi="Times New Roman" w:cs="Times New Roman"/>
                <w:b/>
                <w:kern w:val="0"/>
                <w:sz w:val="22"/>
                <w:szCs w:val="22"/>
                <w14:ligatures w14:val="none"/>
              </w:rPr>
              <w:t xml:space="preserve">Źródło: </w:t>
            </w:r>
            <w:bookmarkStart w:id="1" w:name="Lista1"/>
          </w:p>
          <w:bookmarkEnd w:id="1"/>
          <w:p w14:paraId="7B14E890" w14:textId="30611C39" w:rsidR="006F1B53" w:rsidRPr="006F1B53" w:rsidRDefault="006F1B53" w:rsidP="006F1B53">
            <w:pPr>
              <w:spacing w:after="0" w:line="240" w:lineRule="auto"/>
              <w:jc w:val="both"/>
              <w:rPr>
                <w:rFonts w:ascii="Times New Roman" w:eastAsia="Calibri" w:hAnsi="Times New Roman" w:cs="Times New Roman"/>
                <w:color w:val="000000"/>
                <w:kern w:val="0"/>
                <w:sz w:val="22"/>
                <w:szCs w:val="22"/>
                <w14:ligatures w14:val="none"/>
              </w:rPr>
            </w:pPr>
            <w:r>
              <w:rPr>
                <w:rFonts w:ascii="Times New Roman" w:eastAsia="Calibri" w:hAnsi="Times New Roman" w:cs="Times New Roman"/>
                <w:color w:val="000000"/>
                <w:kern w:val="0"/>
                <w:sz w:val="22"/>
                <w:szCs w:val="22"/>
                <w14:ligatures w14:val="none"/>
              </w:rPr>
              <w:t>Inicjatywa własna</w:t>
            </w:r>
          </w:p>
          <w:p w14:paraId="2EF25052" w14:textId="77777777" w:rsidR="006F1B53" w:rsidRDefault="006F1B53" w:rsidP="006F1B53">
            <w:pPr>
              <w:widowControl w:val="0"/>
              <w:autoSpaceDE w:val="0"/>
              <w:autoSpaceDN w:val="0"/>
              <w:adjustRightInd w:val="0"/>
              <w:spacing w:after="0" w:line="276" w:lineRule="auto"/>
              <w:rPr>
                <w:rFonts w:ascii="Times New Roman" w:eastAsia="Calibri" w:hAnsi="Times New Roman" w:cs="Times New Roman"/>
                <w:b/>
                <w:color w:val="000000"/>
                <w:kern w:val="0"/>
                <w:sz w:val="22"/>
                <w:szCs w:val="22"/>
                <w14:ligatures w14:val="none"/>
              </w:rPr>
            </w:pPr>
          </w:p>
          <w:p w14:paraId="4291BDB8" w14:textId="77777777" w:rsidR="00615DAB" w:rsidRDefault="006F1B53" w:rsidP="006F1B53">
            <w:pPr>
              <w:widowControl w:val="0"/>
              <w:autoSpaceDE w:val="0"/>
              <w:autoSpaceDN w:val="0"/>
              <w:adjustRightInd w:val="0"/>
              <w:spacing w:after="0" w:line="276" w:lineRule="auto"/>
              <w:rPr>
                <w:rFonts w:ascii="Times New Roman" w:eastAsia="Calibri" w:hAnsi="Times New Roman" w:cs="Times New Roman"/>
                <w:b/>
                <w:color w:val="000000"/>
                <w:kern w:val="0"/>
                <w:sz w:val="22"/>
                <w:szCs w:val="22"/>
                <w14:ligatures w14:val="none"/>
              </w:rPr>
            </w:pPr>
            <w:r w:rsidRPr="006F1B53">
              <w:rPr>
                <w:rFonts w:ascii="Times New Roman" w:eastAsia="Calibri" w:hAnsi="Times New Roman" w:cs="Times New Roman"/>
                <w:b/>
                <w:color w:val="000000"/>
                <w:kern w:val="0"/>
                <w:sz w:val="22"/>
                <w:szCs w:val="22"/>
                <w14:ligatures w14:val="none"/>
              </w:rPr>
              <w:t xml:space="preserve">Nr w </w:t>
            </w:r>
            <w:r w:rsidR="00615DAB">
              <w:rPr>
                <w:rFonts w:ascii="Times New Roman" w:eastAsia="Calibri" w:hAnsi="Times New Roman" w:cs="Times New Roman"/>
                <w:b/>
                <w:color w:val="000000"/>
                <w:kern w:val="0"/>
                <w:sz w:val="22"/>
                <w:szCs w:val="22"/>
                <w14:ligatures w14:val="none"/>
              </w:rPr>
              <w:t>w</w:t>
            </w:r>
            <w:r w:rsidRPr="006F1B53">
              <w:rPr>
                <w:rFonts w:ascii="Times New Roman" w:eastAsia="Calibri" w:hAnsi="Times New Roman" w:cs="Times New Roman"/>
                <w:b/>
                <w:color w:val="000000"/>
                <w:kern w:val="0"/>
                <w:sz w:val="22"/>
                <w:szCs w:val="22"/>
                <w14:ligatures w14:val="none"/>
              </w:rPr>
              <w:t xml:space="preserve">ykazie prac legislacyjnych </w:t>
            </w:r>
            <w:r w:rsidR="008B1B0F">
              <w:rPr>
                <w:rFonts w:ascii="Times New Roman" w:eastAsia="Calibri" w:hAnsi="Times New Roman" w:cs="Times New Roman"/>
                <w:b/>
                <w:color w:val="000000"/>
                <w:kern w:val="0"/>
                <w:sz w:val="22"/>
                <w:szCs w:val="22"/>
                <w14:ligatures w14:val="none"/>
              </w:rPr>
              <w:t>i programowych Rady Ministrów</w:t>
            </w:r>
          </w:p>
          <w:p w14:paraId="27BFD237" w14:textId="1E1A9F4A" w:rsidR="00177F9E" w:rsidRPr="00254FCB" w:rsidRDefault="008B1B0F" w:rsidP="008B1B0F">
            <w:pPr>
              <w:widowControl w:val="0"/>
              <w:autoSpaceDE w:val="0"/>
              <w:autoSpaceDN w:val="0"/>
              <w:adjustRightInd w:val="0"/>
              <w:spacing w:after="0" w:line="276" w:lineRule="auto"/>
              <w:rPr>
                <w:rFonts w:ascii="Times New Roman" w:eastAsia="Times New Roman" w:hAnsi="Times New Roman" w:cs="Arial"/>
                <w:bCs/>
                <w:kern w:val="0"/>
                <w:sz w:val="22"/>
                <w:szCs w:val="22"/>
                <w:lang w:eastAsia="pl-PL"/>
                <w14:ligatures w14:val="none"/>
              </w:rPr>
            </w:pPr>
            <w:r>
              <w:rPr>
                <w:rFonts w:ascii="Times New Roman" w:eastAsia="Calibri" w:hAnsi="Times New Roman" w:cs="Times New Roman"/>
                <w:bCs/>
                <w:color w:val="000000"/>
                <w:kern w:val="0"/>
                <w:sz w:val="22"/>
                <w:szCs w:val="22"/>
                <w14:ligatures w14:val="none"/>
              </w:rPr>
              <w:t>UD69</w:t>
            </w:r>
          </w:p>
        </w:tc>
      </w:tr>
      <w:tr w:rsidR="00177F9E" w:rsidRPr="00177F9E" w14:paraId="21618FDC" w14:textId="77777777" w:rsidTr="00A67F48">
        <w:trPr>
          <w:trHeight w:val="142"/>
          <w:jc w:val="center"/>
        </w:trPr>
        <w:tc>
          <w:tcPr>
            <w:tcW w:w="10916" w:type="dxa"/>
            <w:gridSpan w:val="22"/>
            <w:shd w:val="clear" w:color="auto" w:fill="99CCFF"/>
          </w:tcPr>
          <w:p w14:paraId="12BABFED" w14:textId="7677CDAE" w:rsidR="00177F9E" w:rsidRPr="004D6297" w:rsidRDefault="007E4D94" w:rsidP="00177F9E">
            <w:pPr>
              <w:keepNext/>
              <w:spacing w:before="120" w:after="0" w:line="360" w:lineRule="auto"/>
              <w:jc w:val="center"/>
              <w:rPr>
                <w:rFonts w:ascii="Times" w:eastAsia="Times New Roman" w:hAnsi="Times" w:cs="Arial"/>
                <w:bCs/>
                <w:caps/>
                <w:kern w:val="24"/>
                <w:sz w:val="28"/>
                <w:szCs w:val="28"/>
                <w:lang w:eastAsia="pl-PL"/>
                <w14:ligatures w14:val="none"/>
              </w:rPr>
            </w:pPr>
            <w:r w:rsidRPr="004D6297">
              <w:rPr>
                <w:rFonts w:ascii="Times New Roman" w:eastAsia="Calibri" w:hAnsi="Times New Roman" w:cs="Times New Roman"/>
                <w:b/>
                <w:color w:val="FFFFFF"/>
                <w:kern w:val="0"/>
                <w:sz w:val="28"/>
                <w:szCs w:val="28"/>
                <w14:ligatures w14:val="none"/>
              </w:rPr>
              <w:t>OCENA SKUTKÓW REGULACJI</w:t>
            </w:r>
          </w:p>
        </w:tc>
      </w:tr>
      <w:tr w:rsidR="00177F9E" w:rsidRPr="00177F9E" w14:paraId="33ED4AEE" w14:textId="77777777" w:rsidTr="00A67F48">
        <w:trPr>
          <w:trHeight w:val="333"/>
          <w:jc w:val="center"/>
        </w:trPr>
        <w:tc>
          <w:tcPr>
            <w:tcW w:w="10916" w:type="dxa"/>
            <w:gridSpan w:val="22"/>
            <w:shd w:val="clear" w:color="auto" w:fill="99CCFF"/>
            <w:vAlign w:val="center"/>
          </w:tcPr>
          <w:p w14:paraId="36D8BD9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1. Jaki problem jest rozwiązywany?</w:t>
            </w:r>
          </w:p>
        </w:tc>
      </w:tr>
      <w:tr w:rsidR="00177F9E" w:rsidRPr="00177F9E" w14:paraId="2724076F" w14:textId="77777777" w:rsidTr="00A67F48">
        <w:trPr>
          <w:trHeight w:val="274"/>
          <w:jc w:val="center"/>
        </w:trPr>
        <w:tc>
          <w:tcPr>
            <w:tcW w:w="10916" w:type="dxa"/>
            <w:gridSpan w:val="22"/>
            <w:shd w:val="clear" w:color="auto" w:fill="FFFFFF"/>
          </w:tcPr>
          <w:p w14:paraId="31604B7A" w14:textId="2D9EA6A5" w:rsid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Przedstawiony projekt zmiany ustawy z dnia 5 sierpnia 2015 r. o nieodpłatnej pomocy prawnej, nieodpłatnym poradnictwie obywatelskim oraz edukacji prawnej (Dz. U. z 202</w:t>
            </w:r>
            <w:r w:rsidR="00884F73">
              <w:rPr>
                <w:rFonts w:ascii="Times New Roman" w:eastAsia="Times New Roman" w:hAnsi="Times New Roman" w:cs="Arial"/>
                <w:kern w:val="0"/>
                <w:sz w:val="22"/>
                <w:szCs w:val="22"/>
                <w:lang w:eastAsia="pl-PL"/>
                <w14:ligatures w14:val="none"/>
              </w:rPr>
              <w:t>4</w:t>
            </w:r>
            <w:r w:rsidRPr="00177F9E">
              <w:rPr>
                <w:rFonts w:ascii="Times New Roman" w:eastAsia="Times New Roman" w:hAnsi="Times New Roman" w:cs="Arial"/>
                <w:kern w:val="0"/>
                <w:sz w:val="22"/>
                <w:szCs w:val="22"/>
                <w:lang w:eastAsia="pl-PL"/>
                <w14:ligatures w14:val="none"/>
              </w:rPr>
              <w:t xml:space="preserve"> r. poz.</w:t>
            </w:r>
            <w:r w:rsidR="00884F73">
              <w:rPr>
                <w:rFonts w:ascii="Times New Roman" w:eastAsia="Times New Roman" w:hAnsi="Times New Roman" w:cs="Arial"/>
                <w:kern w:val="0"/>
                <w:sz w:val="22"/>
                <w:szCs w:val="22"/>
                <w:lang w:eastAsia="pl-PL"/>
                <w14:ligatures w14:val="none"/>
              </w:rPr>
              <w:t xml:space="preserve"> 1534</w:t>
            </w:r>
            <w:r w:rsidRPr="00177F9E">
              <w:rPr>
                <w:rFonts w:ascii="Times New Roman" w:eastAsia="Times New Roman" w:hAnsi="Times New Roman" w:cs="Arial"/>
                <w:kern w:val="0"/>
                <w:sz w:val="22"/>
                <w:szCs w:val="22"/>
                <w:lang w:eastAsia="pl-PL"/>
                <w14:ligatures w14:val="none"/>
              </w:rPr>
              <w:t>), zwan</w:t>
            </w:r>
            <w:r w:rsidR="008B1B0F">
              <w:rPr>
                <w:rFonts w:ascii="Times New Roman" w:eastAsia="Times New Roman" w:hAnsi="Times New Roman" w:cs="Arial"/>
                <w:kern w:val="0"/>
                <w:sz w:val="22"/>
                <w:szCs w:val="22"/>
                <w:lang w:eastAsia="pl-PL"/>
                <w14:ligatures w14:val="none"/>
              </w:rPr>
              <w:t>ej</w:t>
            </w:r>
            <w:r w:rsidRPr="00177F9E">
              <w:rPr>
                <w:rFonts w:ascii="Times New Roman" w:eastAsia="Times New Roman" w:hAnsi="Times New Roman" w:cs="Arial"/>
                <w:kern w:val="0"/>
                <w:sz w:val="22"/>
                <w:szCs w:val="22"/>
                <w:lang w:eastAsia="pl-PL"/>
                <w14:ligatures w14:val="none"/>
              </w:rPr>
              <w:t xml:space="preserve"> dalej „ustawą”</w:t>
            </w:r>
            <w:r w:rsidR="004050B0">
              <w:rPr>
                <w:rFonts w:ascii="Times New Roman" w:eastAsia="Times New Roman" w:hAnsi="Times New Roman" w:cs="Arial"/>
                <w:kern w:val="0"/>
                <w:sz w:val="22"/>
                <w:szCs w:val="22"/>
                <w:lang w:eastAsia="pl-PL"/>
                <w14:ligatures w14:val="none"/>
              </w:rPr>
              <w:t>,</w:t>
            </w:r>
            <w:r w:rsidRPr="00177F9E">
              <w:rPr>
                <w:rFonts w:ascii="Times New Roman" w:eastAsia="Times New Roman" w:hAnsi="Times New Roman" w:cs="Arial"/>
                <w:kern w:val="0"/>
                <w:sz w:val="22"/>
                <w:szCs w:val="22"/>
                <w:lang w:eastAsia="pl-PL"/>
                <w14:ligatures w14:val="none"/>
              </w:rPr>
              <w:t xml:space="preserve"> wprowadza zmiany w koncepcji działania systemu nieodpłatnej pomocy prawnej, związane z ukierunkowaniem na bardziej efektywne wykorzystanie środków przeznaczanych na ten cel.</w:t>
            </w:r>
          </w:p>
          <w:p w14:paraId="1F9F9644" w14:textId="77777777" w:rsidR="00615DAB" w:rsidRPr="00177F9E" w:rsidRDefault="00615DAB"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p>
          <w:p w14:paraId="563C57F1" w14:textId="44365721"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 art. 28 ustawy określony został maksymalny limit wydatków budżetu państwa. Zgodnie z art. 50 ust. 1c ustawy z dnia 27 sierpnia 2009 r. o finansach publicznych (Dz. U. z 202</w:t>
            </w:r>
            <w:r w:rsidR="00062891">
              <w:rPr>
                <w:rFonts w:ascii="Times New Roman" w:eastAsia="Times New Roman" w:hAnsi="Times New Roman" w:cs="Arial"/>
                <w:kern w:val="0"/>
                <w:sz w:val="22"/>
                <w:szCs w:val="22"/>
                <w:lang w:eastAsia="pl-PL"/>
                <w14:ligatures w14:val="none"/>
              </w:rPr>
              <w:t>4</w:t>
            </w:r>
            <w:r w:rsidRPr="00177F9E">
              <w:rPr>
                <w:rFonts w:ascii="Times New Roman" w:eastAsia="Times New Roman" w:hAnsi="Times New Roman" w:cs="Arial"/>
                <w:kern w:val="0"/>
                <w:sz w:val="22"/>
                <w:szCs w:val="22"/>
                <w:lang w:eastAsia="pl-PL"/>
                <w14:ligatures w14:val="none"/>
              </w:rPr>
              <w:t xml:space="preserve"> r. poz. 1</w:t>
            </w:r>
            <w:r w:rsidR="00062891">
              <w:rPr>
                <w:rFonts w:ascii="Times New Roman" w:eastAsia="Times New Roman" w:hAnsi="Times New Roman" w:cs="Arial"/>
                <w:kern w:val="0"/>
                <w:sz w:val="22"/>
                <w:szCs w:val="22"/>
                <w:lang w:eastAsia="pl-PL"/>
                <w14:ligatures w14:val="none"/>
              </w:rPr>
              <w:t>530,</w:t>
            </w:r>
            <w:r w:rsidRPr="00177F9E">
              <w:rPr>
                <w:rFonts w:ascii="Times New Roman" w:eastAsia="Times New Roman" w:hAnsi="Times New Roman" w:cs="Arial"/>
                <w:kern w:val="0"/>
                <w:sz w:val="22"/>
                <w:szCs w:val="22"/>
                <w:lang w:eastAsia="pl-PL"/>
                <w14:ligatures w14:val="none"/>
              </w:rPr>
              <w:t xml:space="preserve"> z </w:t>
            </w:r>
            <w:proofErr w:type="spellStart"/>
            <w:r w:rsidRPr="00177F9E">
              <w:rPr>
                <w:rFonts w:ascii="Times New Roman" w:eastAsia="Times New Roman" w:hAnsi="Times New Roman" w:cs="Arial"/>
                <w:kern w:val="0"/>
                <w:sz w:val="22"/>
                <w:szCs w:val="22"/>
                <w:lang w:eastAsia="pl-PL"/>
                <w14:ligatures w14:val="none"/>
              </w:rPr>
              <w:t>późn</w:t>
            </w:r>
            <w:proofErr w:type="spellEnd"/>
            <w:r w:rsidRPr="00177F9E">
              <w:rPr>
                <w:rFonts w:ascii="Times New Roman" w:eastAsia="Times New Roman" w:hAnsi="Times New Roman" w:cs="Arial"/>
                <w:kern w:val="0"/>
                <w:sz w:val="22"/>
                <w:szCs w:val="22"/>
                <w:lang w:eastAsia="pl-PL"/>
                <w14:ligatures w14:val="none"/>
              </w:rPr>
              <w:t>. zm.), Rada Ministrów</w:t>
            </w:r>
            <w:r w:rsidR="004050B0">
              <w:rPr>
                <w:rFonts w:ascii="Times New Roman" w:eastAsia="Times New Roman" w:hAnsi="Times New Roman" w:cs="Arial"/>
                <w:kern w:val="0"/>
                <w:sz w:val="22"/>
                <w:szCs w:val="22"/>
                <w:lang w:eastAsia="pl-PL"/>
                <w14:ligatures w14:val="none"/>
              </w:rPr>
              <w:t xml:space="preserve"> jest</w:t>
            </w:r>
            <w:r w:rsidRPr="00177F9E">
              <w:rPr>
                <w:rFonts w:ascii="Times New Roman" w:eastAsia="Times New Roman" w:hAnsi="Times New Roman" w:cs="Arial"/>
                <w:kern w:val="0"/>
                <w:sz w:val="22"/>
                <w:szCs w:val="22"/>
                <w:lang w:eastAsia="pl-PL"/>
                <w14:ligatures w14:val="none"/>
              </w:rPr>
              <w:t xml:space="preserve"> obowiązana przedstawić Sejmowi</w:t>
            </w:r>
            <w:r w:rsidR="004050B0">
              <w:rPr>
                <w:rFonts w:ascii="Times New Roman" w:eastAsia="Times New Roman" w:hAnsi="Times New Roman" w:cs="Arial"/>
                <w:kern w:val="0"/>
                <w:sz w:val="22"/>
                <w:szCs w:val="22"/>
                <w:lang w:eastAsia="pl-PL"/>
                <w14:ligatures w14:val="none"/>
              </w:rPr>
              <w:t>,</w:t>
            </w:r>
            <w:r w:rsidRPr="00177F9E">
              <w:rPr>
                <w:rFonts w:ascii="Times New Roman" w:eastAsia="Times New Roman" w:hAnsi="Times New Roman" w:cs="Arial"/>
                <w:kern w:val="0"/>
                <w:sz w:val="22"/>
                <w:szCs w:val="22"/>
                <w:lang w:eastAsia="pl-PL"/>
                <w14:ligatures w14:val="none"/>
              </w:rPr>
              <w:t xml:space="preserve"> trzy lata przed upływem 10 lat budżetowych wykonywania danej ustawy, projekt zmiany ustawy określającej maksymalne limity wydatków jednostek sektora finansów publicznych, wyrażone kwotowo, na kolejnych 10</w:t>
            </w:r>
            <w:r w:rsidR="008B1B0F">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 xml:space="preserve">lat budżetowych wykonywania ustawy. </w:t>
            </w:r>
            <w:r w:rsidR="00062891">
              <w:rPr>
                <w:rFonts w:ascii="Times New Roman" w:eastAsia="Times New Roman" w:hAnsi="Times New Roman" w:cs="Arial"/>
                <w:kern w:val="0"/>
                <w:sz w:val="22"/>
                <w:szCs w:val="22"/>
                <w:lang w:eastAsia="pl-PL"/>
                <w14:ligatures w14:val="none"/>
              </w:rPr>
              <w:t>W związku z powyższym projekt ustawy wprowadza maksymalne limity wydatków budżetu państwa wynikające z ustawy na lata 2026</w:t>
            </w:r>
            <w:r w:rsidR="00062891" w:rsidRPr="00062891">
              <w:rPr>
                <w:rFonts w:ascii="Times New Roman" w:eastAsia="Times New Roman" w:hAnsi="Times New Roman" w:cs="Arial"/>
                <w:kern w:val="0"/>
                <w:sz w:val="22"/>
                <w:szCs w:val="22"/>
                <w:lang w:eastAsia="pl-PL"/>
                <w14:ligatures w14:val="none"/>
              </w:rPr>
              <w:t>–</w:t>
            </w:r>
            <w:r w:rsidR="00062891">
              <w:rPr>
                <w:rFonts w:ascii="Times New Roman" w:eastAsia="Times New Roman" w:hAnsi="Times New Roman" w:cs="Arial"/>
                <w:kern w:val="0"/>
                <w:sz w:val="22"/>
                <w:szCs w:val="22"/>
                <w:lang w:eastAsia="pl-PL"/>
                <w14:ligatures w14:val="none"/>
              </w:rPr>
              <w:t>2035.</w:t>
            </w:r>
          </w:p>
          <w:p w14:paraId="6406A379"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p>
          <w:p w14:paraId="6DBA3A83" w14:textId="70F570EE"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Wprowadzone na okres epidemii koronawirusa porady zdalne zyskały uznanie wśród beneficjentów</w:t>
            </w:r>
            <w:r w:rsidR="00062891">
              <w:rPr>
                <w:rFonts w:ascii="Times New Roman" w:eastAsia="Times New Roman" w:hAnsi="Times New Roman" w:cs="Arial"/>
                <w:kern w:val="0"/>
                <w:sz w:val="22"/>
                <w:szCs w:val="22"/>
                <w:lang w:eastAsia="pl-PL"/>
                <w14:ligatures w14:val="none"/>
              </w:rPr>
              <w:t>, którzy jednoznacznie opowiadają się</w:t>
            </w:r>
            <w:r w:rsidRPr="00177F9E">
              <w:rPr>
                <w:rFonts w:ascii="Times New Roman" w:eastAsia="Times New Roman" w:hAnsi="Times New Roman" w:cs="Arial"/>
                <w:kern w:val="0"/>
                <w:sz w:val="22"/>
                <w:szCs w:val="22"/>
                <w:lang w:eastAsia="pl-PL"/>
                <w14:ligatures w14:val="none"/>
              </w:rPr>
              <w:t xml:space="preserve"> za ich </w:t>
            </w:r>
            <w:r w:rsidR="00062891">
              <w:rPr>
                <w:rFonts w:ascii="Times New Roman" w:eastAsia="Times New Roman" w:hAnsi="Times New Roman" w:cs="Arial"/>
                <w:kern w:val="0"/>
                <w:sz w:val="22"/>
                <w:szCs w:val="22"/>
                <w:lang w:eastAsia="pl-PL"/>
                <w14:ligatures w14:val="none"/>
              </w:rPr>
              <w:t xml:space="preserve">wprowadzeniem </w:t>
            </w:r>
            <w:r w:rsidRPr="00177F9E">
              <w:rPr>
                <w:rFonts w:ascii="Times New Roman" w:eastAsia="Times New Roman" w:hAnsi="Times New Roman" w:cs="Arial"/>
                <w:kern w:val="0"/>
                <w:sz w:val="22"/>
                <w:szCs w:val="22"/>
                <w:lang w:eastAsia="pl-PL"/>
                <w14:ligatures w14:val="none"/>
              </w:rPr>
              <w:t>na sta</w:t>
            </w:r>
            <w:r w:rsidR="00626855">
              <w:rPr>
                <w:rFonts w:ascii="Times New Roman" w:eastAsia="Times New Roman" w:hAnsi="Times New Roman" w:cs="Arial"/>
                <w:kern w:val="0"/>
                <w:sz w:val="22"/>
                <w:szCs w:val="22"/>
                <w:lang w:eastAsia="pl-PL"/>
                <w14:ligatures w14:val="none"/>
              </w:rPr>
              <w:t>ł</w:t>
            </w:r>
            <w:r w:rsidRPr="00177F9E">
              <w:rPr>
                <w:rFonts w:ascii="Times New Roman" w:eastAsia="Times New Roman" w:hAnsi="Times New Roman" w:cs="Arial"/>
                <w:kern w:val="0"/>
                <w:sz w:val="22"/>
                <w:szCs w:val="22"/>
                <w:lang w:eastAsia="pl-PL"/>
                <w14:ligatures w14:val="none"/>
              </w:rPr>
              <w:t xml:space="preserve">e. Aktualnie takie rozwiązanie </w:t>
            </w:r>
            <w:r w:rsidR="00626855">
              <w:rPr>
                <w:rFonts w:ascii="Times New Roman" w:eastAsia="Times New Roman" w:hAnsi="Times New Roman" w:cs="Arial"/>
                <w:kern w:val="0"/>
                <w:sz w:val="22"/>
                <w:szCs w:val="22"/>
                <w:lang w:eastAsia="pl-PL"/>
                <w14:ligatures w14:val="none"/>
              </w:rPr>
              <w:t xml:space="preserve">jest </w:t>
            </w:r>
            <w:r w:rsidRPr="00177F9E">
              <w:rPr>
                <w:rFonts w:ascii="Times New Roman" w:eastAsia="Times New Roman" w:hAnsi="Times New Roman" w:cs="Arial"/>
                <w:kern w:val="0"/>
                <w:sz w:val="22"/>
                <w:szCs w:val="22"/>
                <w:lang w:eastAsia="pl-PL"/>
                <w14:ligatures w14:val="none"/>
              </w:rPr>
              <w:t>przewidziane dla ograniczonego kręgu osób (osoby ze znaczną niepełnosprawnością ruchową oraz osoby doświadczające trudności w komunikowaniu się – art.</w:t>
            </w:r>
            <w:r w:rsidR="0006289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8 ust. 8 ustawy), a także dla wszystkich osób uprawnionych jedynie w</w:t>
            </w:r>
            <w:r w:rsidR="003B41B6">
              <w:rPr>
                <w:rFonts w:ascii="Times New Roman" w:eastAsia="Times New Roman" w:hAnsi="Times New Roman" w:cs="Arial"/>
                <w:kern w:val="0"/>
                <w:sz w:val="22"/>
                <w:szCs w:val="22"/>
                <w:lang w:eastAsia="pl-PL"/>
                <w14:ligatures w14:val="none"/>
              </w:rPr>
              <w:t xml:space="preserve"> przypadku obowiązywania stanu zagrożenia epidemicznego, stanu epidemii albo wprowadzenia stanu nadzwyczajnego</w:t>
            </w:r>
            <w:r w:rsidRPr="00177F9E">
              <w:rPr>
                <w:rFonts w:ascii="Times New Roman" w:eastAsia="Times New Roman" w:hAnsi="Times New Roman" w:cs="Arial"/>
                <w:kern w:val="0"/>
                <w:sz w:val="22"/>
                <w:szCs w:val="22"/>
                <w:lang w:eastAsia="pl-PL"/>
                <w14:ligatures w14:val="none"/>
              </w:rPr>
              <w:t xml:space="preserve"> (art. 28a ustawy).</w:t>
            </w:r>
          </w:p>
          <w:p w14:paraId="1C63A077" w14:textId="77777777" w:rsidR="00177F9E" w:rsidRPr="00177F9E" w:rsidRDefault="00177F9E" w:rsidP="008B1B0F">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p>
          <w:p w14:paraId="350FA5DC" w14:textId="69D12315" w:rsidR="00177F9E" w:rsidRPr="00177F9E" w:rsidRDefault="00177F9E" w:rsidP="00FD48A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Funkcjonujące rozwiązanie w zakresie obowiązku składania pisemnego oświadczenia o niemożności poniesienia kosztów odpłatnej pomocy prawnej przez osoby uprawnione oraz oświadczeń przedsiębiorców o niezatrudnianiu </w:t>
            </w:r>
            <w:r w:rsidR="00626855">
              <w:rPr>
                <w:rFonts w:ascii="Times New Roman" w:eastAsia="Times New Roman" w:hAnsi="Times New Roman" w:cs="Arial"/>
                <w:kern w:val="0"/>
                <w:sz w:val="22"/>
                <w:szCs w:val="22"/>
                <w:lang w:eastAsia="pl-PL"/>
                <w14:ligatures w14:val="none"/>
              </w:rPr>
              <w:t>innych osób</w:t>
            </w:r>
            <w:r w:rsidRPr="00177F9E">
              <w:rPr>
                <w:rFonts w:ascii="Times New Roman" w:eastAsia="Times New Roman" w:hAnsi="Times New Roman" w:cs="Arial"/>
                <w:kern w:val="0"/>
                <w:sz w:val="22"/>
                <w:szCs w:val="22"/>
                <w:lang w:eastAsia="pl-PL"/>
                <w14:ligatures w14:val="none"/>
              </w:rPr>
              <w:t xml:space="preserve"> w</w:t>
            </w:r>
            <w:r w:rsidR="00626855">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ciągu ostatniego roku, nie stanowi efektywnego narzędzia weryfikującego czy o pomoc rzeczywiście ubiega się osoba, której nie stać na uzyskanie komercyjnej pomocy prawnej. Z kolei konieczność składania takiego oświadczenia stanowi często trudną do przezwyciężenia barierę psychiczną dla osób, których sytuacja finansowa nie pozwala na korzystanie z</w:t>
            </w:r>
            <w:r w:rsidR="00626855">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odpłatnej pomocy prawnej, odczuwają</w:t>
            </w:r>
            <w:r w:rsidR="00FD48A8">
              <w:rPr>
                <w:rFonts w:ascii="Times New Roman" w:eastAsia="Times New Roman" w:hAnsi="Times New Roman" w:cs="Arial"/>
                <w:kern w:val="0"/>
                <w:sz w:val="22"/>
                <w:szCs w:val="22"/>
                <w:lang w:eastAsia="pl-PL"/>
                <w14:ligatures w14:val="none"/>
              </w:rPr>
              <w:t>cych</w:t>
            </w:r>
            <w:r w:rsidRPr="00177F9E">
              <w:rPr>
                <w:rFonts w:ascii="Times New Roman" w:eastAsia="Times New Roman" w:hAnsi="Times New Roman" w:cs="Arial"/>
                <w:kern w:val="0"/>
                <w:sz w:val="22"/>
                <w:szCs w:val="22"/>
                <w:lang w:eastAsia="pl-PL"/>
                <w14:ligatures w14:val="none"/>
              </w:rPr>
              <w:t xml:space="preserve"> dyskomfort przy składaniu </w:t>
            </w:r>
            <w:r w:rsidR="00FD48A8">
              <w:rPr>
                <w:rFonts w:ascii="Times New Roman" w:eastAsia="Times New Roman" w:hAnsi="Times New Roman" w:cs="Arial"/>
                <w:kern w:val="0"/>
                <w:sz w:val="22"/>
                <w:szCs w:val="22"/>
                <w:lang w:eastAsia="pl-PL"/>
                <w14:ligatures w14:val="none"/>
              </w:rPr>
              <w:t xml:space="preserve">ww. </w:t>
            </w:r>
            <w:r w:rsidRPr="00177F9E">
              <w:rPr>
                <w:rFonts w:ascii="Times New Roman" w:eastAsia="Times New Roman" w:hAnsi="Times New Roman" w:cs="Arial"/>
                <w:kern w:val="0"/>
                <w:sz w:val="22"/>
                <w:szCs w:val="22"/>
                <w:lang w:eastAsia="pl-PL"/>
                <w14:ligatures w14:val="none"/>
              </w:rPr>
              <w:t>oświadczeń.</w:t>
            </w:r>
          </w:p>
          <w:p w14:paraId="1844EC25" w14:textId="7C51FEC8" w:rsidR="00177F9E" w:rsidRPr="00177F9E" w:rsidRDefault="00177F9E" w:rsidP="00FD48A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Upowszechnienie się metod komunikowania się na odległość powoduje, </w:t>
            </w:r>
            <w:r w:rsidR="00FD48A8">
              <w:rPr>
                <w:rFonts w:ascii="Times New Roman" w:eastAsia="Times New Roman" w:hAnsi="Times New Roman" w:cs="Arial"/>
                <w:kern w:val="0"/>
                <w:sz w:val="22"/>
                <w:szCs w:val="22"/>
                <w:lang w:eastAsia="pl-PL"/>
                <w14:ligatures w14:val="none"/>
              </w:rPr>
              <w:t>że</w:t>
            </w:r>
            <w:r w:rsidRPr="00177F9E">
              <w:rPr>
                <w:rFonts w:ascii="Times New Roman" w:eastAsia="Times New Roman" w:hAnsi="Times New Roman" w:cs="Arial"/>
                <w:kern w:val="0"/>
                <w:sz w:val="22"/>
                <w:szCs w:val="22"/>
                <w:lang w:eastAsia="pl-PL"/>
                <w14:ligatures w14:val="none"/>
              </w:rPr>
              <w:t xml:space="preserve"> należy udostępnić taką możliwość</w:t>
            </w:r>
            <w:r w:rsidR="00FD48A8">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komunikacji również w przypadku udzielania porad w ramach nieodpłatnej pomocy prawnej.</w:t>
            </w:r>
          </w:p>
        </w:tc>
      </w:tr>
      <w:tr w:rsidR="00177F9E" w:rsidRPr="00177F9E" w14:paraId="5D982220" w14:textId="77777777" w:rsidTr="00A67F48">
        <w:trPr>
          <w:trHeight w:val="142"/>
          <w:jc w:val="center"/>
        </w:trPr>
        <w:tc>
          <w:tcPr>
            <w:tcW w:w="10916" w:type="dxa"/>
            <w:gridSpan w:val="22"/>
            <w:shd w:val="clear" w:color="auto" w:fill="99CCFF"/>
            <w:vAlign w:val="center"/>
          </w:tcPr>
          <w:p w14:paraId="2C3DE57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2. Rekomendowane rozwiązanie, w tym planowane narzędzia interwencji i oczekiwany efekt</w:t>
            </w:r>
          </w:p>
        </w:tc>
      </w:tr>
      <w:tr w:rsidR="00177F9E" w:rsidRPr="00177F9E" w14:paraId="3719A33C" w14:textId="77777777" w:rsidTr="00A67F48">
        <w:trPr>
          <w:trHeight w:val="583"/>
          <w:jc w:val="center"/>
        </w:trPr>
        <w:tc>
          <w:tcPr>
            <w:tcW w:w="10916" w:type="dxa"/>
            <w:gridSpan w:val="22"/>
            <w:shd w:val="clear" w:color="auto" w:fill="auto"/>
          </w:tcPr>
          <w:p w14:paraId="7C67B7FB" w14:textId="77777777" w:rsidR="00AA4075" w:rsidRDefault="00177F9E" w:rsidP="00615DAB">
            <w:pPr>
              <w:suppressAutoHyphens/>
              <w:autoSpaceDE w:val="0"/>
              <w:autoSpaceDN w:val="0"/>
              <w:adjustRightInd w:val="0"/>
              <w:spacing w:after="0" w:line="240" w:lineRule="auto"/>
              <w:jc w:val="both"/>
            </w:pPr>
            <w:r w:rsidRPr="00177F9E">
              <w:rPr>
                <w:rFonts w:ascii="Times New Roman" w:eastAsia="Times New Roman" w:hAnsi="Times New Roman" w:cs="Times New Roman"/>
                <w:kern w:val="0"/>
                <w:sz w:val="22"/>
                <w:szCs w:val="22"/>
                <w:lang w:eastAsia="pl-PL"/>
                <w14:ligatures w14:val="none"/>
              </w:rPr>
              <w:t>Propozycje objęte niniejszym projektem obejmują następujące zagadnienia:</w:t>
            </w:r>
            <w:r w:rsidR="00AA4075">
              <w:t xml:space="preserve"> </w:t>
            </w:r>
          </w:p>
          <w:p w14:paraId="353D7F25" w14:textId="5B6DEB7B" w:rsidR="00AA4075" w:rsidRPr="000F2584" w:rsidRDefault="00177F9E" w:rsidP="000F2584">
            <w:pPr>
              <w:pStyle w:val="Akapitzlist"/>
              <w:numPr>
                <w:ilvl w:val="0"/>
                <w:numId w:val="2"/>
              </w:num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0F2584">
              <w:rPr>
                <w:rFonts w:ascii="Times New Roman" w:eastAsia="Times New Roman" w:hAnsi="Times New Roman" w:cs="Times New Roman"/>
                <w:kern w:val="0"/>
                <w:sz w:val="22"/>
                <w:szCs w:val="22"/>
                <w:lang w:eastAsia="pl-PL"/>
                <w14:ligatures w14:val="none"/>
              </w:rPr>
              <w:t>określenie maksymalnego limitu wydatków budżetu państwa w latach 2026–2035 będącego skutkiem finansowym ustawy</w:t>
            </w:r>
            <w:r w:rsidR="008A5BAE">
              <w:rPr>
                <w:rFonts w:ascii="Times New Roman" w:eastAsia="Times New Roman" w:hAnsi="Times New Roman" w:cs="Times New Roman"/>
                <w:kern w:val="0"/>
                <w:sz w:val="22"/>
                <w:szCs w:val="22"/>
                <w:lang w:eastAsia="pl-PL"/>
                <w14:ligatures w14:val="none"/>
              </w:rPr>
              <w:t>;</w:t>
            </w:r>
          </w:p>
          <w:p w14:paraId="11C58C8F" w14:textId="5EC507A8" w:rsidR="000F2584" w:rsidRDefault="00177F9E" w:rsidP="000F2584">
            <w:pPr>
              <w:pStyle w:val="Akapitzlist"/>
              <w:numPr>
                <w:ilvl w:val="0"/>
                <w:numId w:val="2"/>
              </w:num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0F2584">
              <w:rPr>
                <w:rFonts w:ascii="Times New Roman" w:eastAsia="Times New Roman" w:hAnsi="Times New Roman" w:cs="Times New Roman"/>
                <w:kern w:val="0"/>
                <w:sz w:val="22"/>
                <w:szCs w:val="22"/>
                <w:lang w:eastAsia="pl-PL"/>
                <w14:ligatures w14:val="none"/>
              </w:rPr>
              <w:t>wprowadzenie na stałe porad zdalnych dostępnych dla wszystkich beneficjentów</w:t>
            </w:r>
            <w:r w:rsidR="008A5BAE">
              <w:rPr>
                <w:rFonts w:ascii="Times New Roman" w:eastAsia="Times New Roman" w:hAnsi="Times New Roman" w:cs="Times New Roman"/>
                <w:kern w:val="0"/>
                <w:sz w:val="22"/>
                <w:szCs w:val="22"/>
                <w:lang w:eastAsia="pl-PL"/>
                <w14:ligatures w14:val="none"/>
              </w:rPr>
              <w:t>;</w:t>
            </w:r>
          </w:p>
          <w:p w14:paraId="24D5D2FE" w14:textId="5FCF3EC2" w:rsidR="00177F9E" w:rsidRPr="000F2584" w:rsidRDefault="00177F9E" w:rsidP="000F2584">
            <w:pPr>
              <w:pStyle w:val="Akapitzlist"/>
              <w:numPr>
                <w:ilvl w:val="0"/>
                <w:numId w:val="2"/>
              </w:num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0F2584">
              <w:rPr>
                <w:rFonts w:ascii="Times New Roman" w:eastAsia="Times New Roman" w:hAnsi="Times New Roman" w:cs="Times New Roman"/>
                <w:kern w:val="0"/>
                <w:sz w:val="22"/>
                <w:szCs w:val="22"/>
                <w:lang w:eastAsia="pl-PL"/>
                <w14:ligatures w14:val="none"/>
              </w:rPr>
              <w:lastRenderedPageBreak/>
              <w:t xml:space="preserve">zniesienie obowiązku składania oświadczeń o niemożności poniesienia kosztów odpłatnej pomocy prawnej przez osoby uprawnione oraz oświadczeń przedsiębiorców o niezatrudnianiu </w:t>
            </w:r>
            <w:r w:rsidR="00FD48A8">
              <w:rPr>
                <w:rFonts w:ascii="Times New Roman" w:eastAsia="Times New Roman" w:hAnsi="Times New Roman" w:cs="Times New Roman"/>
                <w:kern w:val="0"/>
                <w:sz w:val="22"/>
                <w:szCs w:val="22"/>
                <w:lang w:eastAsia="pl-PL"/>
                <w14:ligatures w14:val="none"/>
              </w:rPr>
              <w:t>innych osób</w:t>
            </w:r>
            <w:r w:rsidRPr="000F2584">
              <w:rPr>
                <w:rFonts w:ascii="Times New Roman" w:eastAsia="Times New Roman" w:hAnsi="Times New Roman" w:cs="Times New Roman"/>
                <w:kern w:val="0"/>
                <w:sz w:val="22"/>
                <w:szCs w:val="22"/>
                <w:lang w:eastAsia="pl-PL"/>
                <w14:ligatures w14:val="none"/>
              </w:rPr>
              <w:t xml:space="preserve"> w ciągu ostatniego roku (uchylenie art. 4 ust. 2</w:t>
            </w:r>
            <w:r w:rsidR="000F2584" w:rsidRPr="000F2584">
              <w:rPr>
                <w:rFonts w:ascii="Times New Roman" w:eastAsia="Times New Roman" w:hAnsi="Times New Roman" w:cs="Times New Roman"/>
                <w:kern w:val="0"/>
                <w:sz w:val="22"/>
                <w:szCs w:val="22"/>
                <w:lang w:eastAsia="pl-PL"/>
                <w14:ligatures w14:val="none"/>
              </w:rPr>
              <w:t>–</w:t>
            </w:r>
            <w:r w:rsidRPr="000F2584">
              <w:rPr>
                <w:rFonts w:ascii="Times New Roman" w:eastAsia="Times New Roman" w:hAnsi="Times New Roman" w:cs="Times New Roman"/>
                <w:kern w:val="0"/>
                <w:sz w:val="22"/>
                <w:szCs w:val="22"/>
                <w:lang w:eastAsia="pl-PL"/>
                <w14:ligatures w14:val="none"/>
              </w:rPr>
              <w:t>6 ustawy) oraz uchylenie załącznika nr 1 do ustawy (art. 1 pkt 8</w:t>
            </w:r>
            <w:r w:rsidR="00062891">
              <w:rPr>
                <w:rFonts w:ascii="Times New Roman" w:eastAsia="Times New Roman" w:hAnsi="Times New Roman" w:cs="Times New Roman"/>
                <w:kern w:val="0"/>
                <w:sz w:val="22"/>
                <w:szCs w:val="22"/>
                <w:lang w:eastAsia="pl-PL"/>
                <w14:ligatures w14:val="none"/>
              </w:rPr>
              <w:t xml:space="preserve"> projektu ustawy</w:t>
            </w:r>
            <w:r w:rsidRPr="000F2584">
              <w:rPr>
                <w:rFonts w:ascii="Times New Roman" w:eastAsia="Times New Roman" w:hAnsi="Times New Roman" w:cs="Times New Roman"/>
                <w:kern w:val="0"/>
                <w:sz w:val="22"/>
                <w:szCs w:val="22"/>
                <w:lang w:eastAsia="pl-PL"/>
                <w14:ligatures w14:val="none"/>
              </w:rPr>
              <w:t>).</w:t>
            </w:r>
          </w:p>
          <w:p w14:paraId="3A0C15D8" w14:textId="64387660" w:rsidR="00177F9E" w:rsidRPr="00177F9E" w:rsidRDefault="00177F9E" w:rsidP="000F2584">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Do wyliczenia maksymalnego limitu wydatków budżetu państwa w latach 2026–2035 będącego skutkiem finansowym ustawy przyjęto wskaźnik CPI przedstawiony przez Ministra Finansów</w:t>
            </w:r>
            <w:r w:rsidR="008A5BAE">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w</w:t>
            </w:r>
            <w:r w:rsidR="008A5BAE">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Wytycznych dotyczących stosowania jednolitych wskaźników makroekonomicznych będących podstawą oszacowania skutków finansowych projektowanych ustaw.</w:t>
            </w:r>
          </w:p>
          <w:p w14:paraId="7CAEC274" w14:textId="77777777" w:rsidR="00177F9E" w:rsidRPr="00177F9E" w:rsidRDefault="00177F9E" w:rsidP="000F2584">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Poniższe dane obrazują udział porad udzielonych zdalnie w ogólnej liczbie porad:</w:t>
            </w:r>
          </w:p>
          <w:p w14:paraId="5766C4D0" w14:textId="24043AAB" w:rsidR="00177F9E" w:rsidRPr="000F2584" w:rsidRDefault="00177F9E" w:rsidP="000F2584">
            <w:pPr>
              <w:pStyle w:val="Akapitzlist"/>
              <w:numPr>
                <w:ilvl w:val="0"/>
                <w:numId w:val="1"/>
              </w:numPr>
              <w:suppressAutoHyphens/>
              <w:autoSpaceDE w:val="0"/>
              <w:autoSpaceDN w:val="0"/>
              <w:adjustRightInd w:val="0"/>
              <w:spacing w:before="120" w:after="0" w:line="240" w:lineRule="auto"/>
              <w:ind w:left="1014" w:hanging="567"/>
              <w:jc w:val="both"/>
              <w:rPr>
                <w:rFonts w:ascii="Times New Roman" w:eastAsia="Times New Roman" w:hAnsi="Times New Roman" w:cs="Times New Roman"/>
                <w:kern w:val="0"/>
                <w:sz w:val="22"/>
                <w:szCs w:val="22"/>
                <w:lang w:eastAsia="pl-PL"/>
                <w14:ligatures w14:val="none"/>
              </w:rPr>
            </w:pPr>
            <w:r w:rsidRPr="000F2584">
              <w:rPr>
                <w:rFonts w:ascii="Times New Roman" w:eastAsia="Times New Roman" w:hAnsi="Times New Roman" w:cs="Times New Roman"/>
                <w:kern w:val="0"/>
                <w:sz w:val="22"/>
                <w:szCs w:val="22"/>
                <w:lang w:eastAsia="pl-PL"/>
                <w14:ligatures w14:val="none"/>
              </w:rPr>
              <w:t xml:space="preserve">zainteresowanie poradami udzielanymi za pośrednictwem środków porozumiewania się na odległość znacznie wzrosło od czasu wprowadzenia stanu epidemii – w 2021 r. samych porad telefonicznych udzielono 171 526, porad </w:t>
            </w:r>
            <w:r w:rsidR="009E377C">
              <w:rPr>
                <w:rFonts w:ascii="Times New Roman" w:eastAsia="Times New Roman" w:hAnsi="Times New Roman" w:cs="Times New Roman"/>
                <w:kern w:val="0"/>
                <w:sz w:val="22"/>
                <w:szCs w:val="22"/>
                <w:lang w:eastAsia="pl-PL"/>
                <w14:ligatures w14:val="none"/>
              </w:rPr>
              <w:t xml:space="preserve">udzielonych </w:t>
            </w:r>
            <w:r w:rsidRPr="000F2584">
              <w:rPr>
                <w:rFonts w:ascii="Times New Roman" w:eastAsia="Times New Roman" w:hAnsi="Times New Roman" w:cs="Times New Roman"/>
                <w:kern w:val="0"/>
                <w:sz w:val="22"/>
                <w:szCs w:val="22"/>
                <w:lang w:eastAsia="pl-PL"/>
                <w14:ligatures w14:val="none"/>
              </w:rPr>
              <w:t xml:space="preserve">za pośrednictwem poczty elektronicznej </w:t>
            </w:r>
            <w:r w:rsidR="00062891" w:rsidRPr="00062891">
              <w:rPr>
                <w:rFonts w:ascii="Times New Roman" w:eastAsia="Times New Roman" w:hAnsi="Times New Roman" w:cs="Times New Roman"/>
                <w:kern w:val="0"/>
                <w:sz w:val="22"/>
                <w:szCs w:val="22"/>
                <w:lang w:eastAsia="pl-PL"/>
                <w14:ligatures w14:val="none"/>
              </w:rPr>
              <w:t>–</w:t>
            </w:r>
            <w:r w:rsidR="00062891">
              <w:rPr>
                <w:rFonts w:ascii="Times New Roman" w:eastAsia="Times New Roman" w:hAnsi="Times New Roman" w:cs="Times New Roman"/>
                <w:kern w:val="0"/>
                <w:sz w:val="22"/>
                <w:szCs w:val="22"/>
                <w:lang w:eastAsia="pl-PL"/>
                <w14:ligatures w14:val="none"/>
              </w:rPr>
              <w:t xml:space="preserve"> </w:t>
            </w:r>
            <w:r w:rsidRPr="000F2584">
              <w:rPr>
                <w:rFonts w:ascii="Times New Roman" w:eastAsia="Times New Roman" w:hAnsi="Times New Roman" w:cs="Times New Roman"/>
                <w:kern w:val="0"/>
                <w:sz w:val="22"/>
                <w:szCs w:val="22"/>
                <w:lang w:eastAsia="pl-PL"/>
                <w14:ligatures w14:val="none"/>
              </w:rPr>
              <w:t xml:space="preserve">6366, przez komunikator internetowy – 338 porad, a w formie </w:t>
            </w:r>
            <w:proofErr w:type="spellStart"/>
            <w:r w:rsidRPr="000F2584">
              <w:rPr>
                <w:rFonts w:ascii="Times New Roman" w:eastAsia="Times New Roman" w:hAnsi="Times New Roman" w:cs="Times New Roman"/>
                <w:kern w:val="0"/>
                <w:sz w:val="22"/>
                <w:szCs w:val="22"/>
                <w:lang w:eastAsia="pl-PL"/>
                <w14:ligatures w14:val="none"/>
              </w:rPr>
              <w:t>wideorozmowy</w:t>
            </w:r>
            <w:proofErr w:type="spellEnd"/>
            <w:r w:rsidR="00062891">
              <w:rPr>
                <w:rFonts w:ascii="Times New Roman" w:eastAsia="Times New Roman" w:hAnsi="Times New Roman" w:cs="Times New Roman"/>
                <w:kern w:val="0"/>
                <w:sz w:val="22"/>
                <w:szCs w:val="22"/>
                <w:lang w:eastAsia="pl-PL"/>
                <w14:ligatures w14:val="none"/>
              </w:rPr>
              <w:t xml:space="preserve"> </w:t>
            </w:r>
            <w:r w:rsidR="00062891" w:rsidRPr="00062891">
              <w:rPr>
                <w:rFonts w:ascii="Times New Roman" w:eastAsia="Times New Roman" w:hAnsi="Times New Roman" w:cs="Times New Roman"/>
                <w:kern w:val="0"/>
                <w:sz w:val="22"/>
                <w:szCs w:val="22"/>
                <w:lang w:eastAsia="pl-PL"/>
                <w14:ligatures w14:val="none"/>
              </w:rPr>
              <w:t>–</w:t>
            </w:r>
            <w:r w:rsidR="00062891">
              <w:rPr>
                <w:rFonts w:ascii="Times New Roman" w:eastAsia="Times New Roman" w:hAnsi="Times New Roman" w:cs="Times New Roman"/>
                <w:kern w:val="0"/>
                <w:sz w:val="22"/>
                <w:szCs w:val="22"/>
                <w:lang w:eastAsia="pl-PL"/>
                <w14:ligatures w14:val="none"/>
              </w:rPr>
              <w:t xml:space="preserve"> </w:t>
            </w:r>
            <w:r w:rsidRPr="000F2584">
              <w:rPr>
                <w:rFonts w:ascii="Times New Roman" w:eastAsia="Times New Roman" w:hAnsi="Times New Roman" w:cs="Times New Roman"/>
                <w:kern w:val="0"/>
                <w:sz w:val="22"/>
                <w:szCs w:val="22"/>
                <w:lang w:eastAsia="pl-PL"/>
                <w14:ligatures w14:val="none"/>
              </w:rPr>
              <w:t>25</w:t>
            </w:r>
            <w:r w:rsidR="002156D2" w:rsidRPr="000F2584">
              <w:rPr>
                <w:rFonts w:ascii="Times New Roman" w:eastAsia="Times New Roman" w:hAnsi="Times New Roman" w:cs="Times New Roman"/>
                <w:kern w:val="0"/>
                <w:sz w:val="22"/>
                <w:szCs w:val="22"/>
                <w:lang w:eastAsia="pl-PL"/>
                <w14:ligatures w14:val="none"/>
              </w:rPr>
              <w:t> </w:t>
            </w:r>
            <w:r w:rsidRPr="000F2584">
              <w:rPr>
                <w:rFonts w:ascii="Times New Roman" w:eastAsia="Times New Roman" w:hAnsi="Times New Roman" w:cs="Times New Roman"/>
                <w:kern w:val="0"/>
                <w:sz w:val="22"/>
                <w:szCs w:val="22"/>
                <w:lang w:eastAsia="pl-PL"/>
                <w14:ligatures w14:val="none"/>
              </w:rPr>
              <w:t>porad</w:t>
            </w:r>
            <w:r w:rsidR="00FD48A8">
              <w:rPr>
                <w:rFonts w:ascii="Times New Roman" w:eastAsia="Times New Roman" w:hAnsi="Times New Roman" w:cs="Times New Roman"/>
                <w:kern w:val="0"/>
                <w:sz w:val="22"/>
                <w:szCs w:val="22"/>
                <w:lang w:eastAsia="pl-PL"/>
                <w14:ligatures w14:val="none"/>
              </w:rPr>
              <w:t>;</w:t>
            </w:r>
            <w:r w:rsidRPr="000F2584">
              <w:rPr>
                <w:rFonts w:ascii="Times New Roman" w:eastAsia="Times New Roman" w:hAnsi="Times New Roman" w:cs="Times New Roman"/>
                <w:kern w:val="0"/>
                <w:sz w:val="22"/>
                <w:szCs w:val="22"/>
                <w:lang w:eastAsia="pl-PL"/>
                <w14:ligatures w14:val="none"/>
              </w:rPr>
              <w:t xml:space="preserve"> </w:t>
            </w:r>
            <w:r w:rsidR="00FD48A8">
              <w:rPr>
                <w:rFonts w:ascii="Times New Roman" w:eastAsia="Times New Roman" w:hAnsi="Times New Roman" w:cs="Times New Roman"/>
                <w:kern w:val="0"/>
                <w:sz w:val="22"/>
                <w:szCs w:val="22"/>
                <w:lang w:eastAsia="pl-PL"/>
                <w14:ligatures w14:val="none"/>
              </w:rPr>
              <w:t>o</w:t>
            </w:r>
            <w:r w:rsidRPr="000F2584">
              <w:rPr>
                <w:rFonts w:ascii="Times New Roman" w:eastAsia="Times New Roman" w:hAnsi="Times New Roman" w:cs="Times New Roman"/>
                <w:kern w:val="0"/>
                <w:sz w:val="22"/>
                <w:szCs w:val="22"/>
                <w:lang w:eastAsia="pl-PL"/>
                <w14:ligatures w14:val="none"/>
              </w:rPr>
              <w:t>znacza to, że na 388 891 porad ponad 52% (178 255) było udzielonych za</w:t>
            </w:r>
            <w:r w:rsidR="001A5F78">
              <w:rPr>
                <w:rFonts w:ascii="Times New Roman" w:eastAsia="Times New Roman" w:hAnsi="Times New Roman" w:cs="Times New Roman"/>
                <w:kern w:val="0"/>
                <w:sz w:val="22"/>
                <w:szCs w:val="22"/>
                <w:lang w:eastAsia="pl-PL"/>
                <w14:ligatures w14:val="none"/>
              </w:rPr>
              <w:t> </w:t>
            </w:r>
            <w:r w:rsidRPr="000F2584">
              <w:rPr>
                <w:rFonts w:ascii="Times New Roman" w:eastAsia="Times New Roman" w:hAnsi="Times New Roman" w:cs="Times New Roman"/>
                <w:kern w:val="0"/>
                <w:sz w:val="22"/>
                <w:szCs w:val="22"/>
                <w:lang w:eastAsia="pl-PL"/>
                <w14:ligatures w14:val="none"/>
              </w:rPr>
              <w:t>pośrednictwem środków porozumiewania się na odległość</w:t>
            </w:r>
            <w:r w:rsidR="00FD48A8">
              <w:rPr>
                <w:rFonts w:ascii="Times New Roman" w:eastAsia="Times New Roman" w:hAnsi="Times New Roman" w:cs="Times New Roman"/>
                <w:kern w:val="0"/>
                <w:sz w:val="22"/>
                <w:szCs w:val="22"/>
                <w:lang w:eastAsia="pl-PL"/>
                <w14:ligatures w14:val="none"/>
              </w:rPr>
              <w:t>;</w:t>
            </w:r>
          </w:p>
          <w:p w14:paraId="4191842C" w14:textId="7D273BE2" w:rsidR="00177F9E" w:rsidRPr="000F2584" w:rsidRDefault="00177F9E" w:rsidP="000F2584">
            <w:pPr>
              <w:pStyle w:val="Akapitzlist"/>
              <w:numPr>
                <w:ilvl w:val="0"/>
                <w:numId w:val="1"/>
              </w:numPr>
              <w:suppressAutoHyphens/>
              <w:autoSpaceDE w:val="0"/>
              <w:autoSpaceDN w:val="0"/>
              <w:adjustRightInd w:val="0"/>
              <w:spacing w:before="120" w:after="0" w:line="240" w:lineRule="auto"/>
              <w:ind w:left="1014" w:hanging="567"/>
              <w:jc w:val="both"/>
              <w:rPr>
                <w:rFonts w:ascii="Times New Roman" w:eastAsia="Times New Roman" w:hAnsi="Times New Roman" w:cs="Times New Roman"/>
                <w:kern w:val="0"/>
                <w:sz w:val="22"/>
                <w:szCs w:val="22"/>
                <w:lang w:eastAsia="pl-PL"/>
                <w14:ligatures w14:val="none"/>
              </w:rPr>
            </w:pPr>
            <w:r w:rsidRPr="000F2584">
              <w:rPr>
                <w:rFonts w:ascii="Times New Roman" w:eastAsia="Times New Roman" w:hAnsi="Times New Roman" w:cs="Times New Roman"/>
                <w:kern w:val="0"/>
                <w:sz w:val="22"/>
                <w:szCs w:val="22"/>
                <w:lang w:eastAsia="pl-PL"/>
                <w14:ligatures w14:val="none"/>
              </w:rPr>
              <w:t>w 2022 roku porady zdalne stanowiły prawie 21% wszystkich porad (95 406 spośród 459 773 porad)</w:t>
            </w:r>
            <w:r w:rsidR="00FD48A8">
              <w:rPr>
                <w:rFonts w:ascii="Times New Roman" w:eastAsia="Times New Roman" w:hAnsi="Times New Roman" w:cs="Times New Roman"/>
                <w:kern w:val="0"/>
                <w:sz w:val="22"/>
                <w:szCs w:val="22"/>
                <w:lang w:eastAsia="pl-PL"/>
                <w14:ligatures w14:val="none"/>
              </w:rPr>
              <w:t>;</w:t>
            </w:r>
            <w:r w:rsidRPr="000F2584">
              <w:rPr>
                <w:rFonts w:ascii="Times New Roman" w:eastAsia="Times New Roman" w:hAnsi="Times New Roman" w:cs="Times New Roman"/>
                <w:kern w:val="0"/>
                <w:sz w:val="22"/>
                <w:szCs w:val="22"/>
                <w:lang w:eastAsia="pl-PL"/>
                <w14:ligatures w14:val="none"/>
              </w:rPr>
              <w:t xml:space="preserve"> </w:t>
            </w:r>
            <w:r w:rsidR="00FD48A8">
              <w:rPr>
                <w:rFonts w:ascii="Times New Roman" w:eastAsia="Times New Roman" w:hAnsi="Times New Roman" w:cs="Times New Roman"/>
                <w:kern w:val="0"/>
                <w:sz w:val="22"/>
                <w:szCs w:val="22"/>
                <w:lang w:eastAsia="pl-PL"/>
                <w14:ligatures w14:val="none"/>
              </w:rPr>
              <w:t>z</w:t>
            </w:r>
            <w:r w:rsidRPr="000F2584">
              <w:rPr>
                <w:rFonts w:ascii="Times New Roman" w:eastAsia="Times New Roman" w:hAnsi="Times New Roman" w:cs="Times New Roman"/>
                <w:kern w:val="0"/>
                <w:sz w:val="22"/>
                <w:szCs w:val="22"/>
                <w:lang w:eastAsia="pl-PL"/>
                <w14:ligatures w14:val="none"/>
              </w:rPr>
              <w:t>niesienie stanu zagrożenia epidemicznego spowodowało likwidację możliwości udzielania porad zdalnie, powodując niewykorzystanie potencjału systemu nieodpłatnej pomocy, jaki tkwi w poradach zdalnych</w:t>
            </w:r>
            <w:r w:rsidR="00FD48A8">
              <w:rPr>
                <w:rFonts w:ascii="Times New Roman" w:eastAsia="Times New Roman" w:hAnsi="Times New Roman" w:cs="Times New Roman"/>
                <w:kern w:val="0"/>
                <w:sz w:val="22"/>
                <w:szCs w:val="22"/>
                <w:lang w:eastAsia="pl-PL"/>
                <w14:ligatures w14:val="none"/>
              </w:rPr>
              <w:t>;</w:t>
            </w:r>
            <w:r w:rsidRPr="000F2584">
              <w:rPr>
                <w:rFonts w:ascii="Times New Roman" w:eastAsia="Times New Roman" w:hAnsi="Times New Roman" w:cs="Times New Roman"/>
                <w:kern w:val="0"/>
                <w:sz w:val="22"/>
                <w:szCs w:val="22"/>
                <w:lang w:eastAsia="pl-PL"/>
                <w14:ligatures w14:val="none"/>
              </w:rPr>
              <w:t xml:space="preserve"> </w:t>
            </w:r>
            <w:r w:rsidR="00FD48A8">
              <w:rPr>
                <w:rFonts w:ascii="Times New Roman" w:eastAsia="Times New Roman" w:hAnsi="Times New Roman" w:cs="Times New Roman"/>
                <w:kern w:val="0"/>
                <w:sz w:val="22"/>
                <w:szCs w:val="22"/>
                <w:lang w:eastAsia="pl-PL"/>
                <w14:ligatures w14:val="none"/>
              </w:rPr>
              <w:t>w</w:t>
            </w:r>
            <w:r w:rsidRPr="000F2584">
              <w:rPr>
                <w:rFonts w:ascii="Times New Roman" w:eastAsia="Times New Roman" w:hAnsi="Times New Roman" w:cs="Times New Roman"/>
                <w:kern w:val="0"/>
                <w:sz w:val="22"/>
                <w:szCs w:val="22"/>
                <w:lang w:eastAsia="pl-PL"/>
                <w14:ligatures w14:val="none"/>
              </w:rPr>
              <w:t>prowadzenie porad zdalnych na stałe pozwoli utrzymać popyt i umożliwi również korzystanie z dyżurów specjalistycznych poza miejscem zamieszkania</w:t>
            </w:r>
            <w:r w:rsidR="00FD48A8">
              <w:rPr>
                <w:rFonts w:ascii="Times New Roman" w:eastAsia="Times New Roman" w:hAnsi="Times New Roman" w:cs="Times New Roman"/>
                <w:kern w:val="0"/>
                <w:sz w:val="22"/>
                <w:szCs w:val="22"/>
                <w:lang w:eastAsia="pl-PL"/>
                <w14:ligatures w14:val="none"/>
              </w:rPr>
              <w:t>;</w:t>
            </w:r>
            <w:r w:rsidRPr="000F2584">
              <w:rPr>
                <w:rFonts w:ascii="Times New Roman" w:eastAsia="Times New Roman" w:hAnsi="Times New Roman" w:cs="Times New Roman"/>
                <w:kern w:val="0"/>
                <w:sz w:val="22"/>
                <w:szCs w:val="22"/>
                <w:lang w:eastAsia="pl-PL"/>
                <w14:ligatures w14:val="none"/>
              </w:rPr>
              <w:t xml:space="preserve"> </w:t>
            </w:r>
            <w:r w:rsidR="00D8548D">
              <w:rPr>
                <w:rFonts w:ascii="Times New Roman" w:eastAsia="Times New Roman" w:hAnsi="Times New Roman" w:cs="Times New Roman"/>
                <w:kern w:val="0"/>
                <w:sz w:val="22"/>
                <w:szCs w:val="22"/>
                <w:lang w:eastAsia="pl-PL"/>
                <w14:ligatures w14:val="none"/>
              </w:rPr>
              <w:t>s</w:t>
            </w:r>
            <w:r w:rsidRPr="000F2584">
              <w:rPr>
                <w:rFonts w:ascii="Times New Roman" w:eastAsia="Times New Roman" w:hAnsi="Times New Roman" w:cs="Times New Roman"/>
                <w:kern w:val="0"/>
                <w:sz w:val="22"/>
                <w:szCs w:val="22"/>
                <w:lang w:eastAsia="pl-PL"/>
                <w14:ligatures w14:val="none"/>
              </w:rPr>
              <w:t xml:space="preserve">padek liczby porad w formie </w:t>
            </w:r>
            <w:r w:rsidR="00D8548D">
              <w:rPr>
                <w:rFonts w:ascii="Times New Roman" w:eastAsia="Times New Roman" w:hAnsi="Times New Roman" w:cs="Times New Roman"/>
                <w:kern w:val="0"/>
                <w:sz w:val="22"/>
                <w:szCs w:val="22"/>
                <w:lang w:eastAsia="pl-PL"/>
                <w14:ligatures w14:val="none"/>
              </w:rPr>
              <w:t xml:space="preserve">zdalnej </w:t>
            </w:r>
            <w:r w:rsidRPr="000F2584">
              <w:rPr>
                <w:rFonts w:ascii="Times New Roman" w:eastAsia="Times New Roman" w:hAnsi="Times New Roman" w:cs="Times New Roman"/>
                <w:kern w:val="0"/>
                <w:sz w:val="22"/>
                <w:szCs w:val="22"/>
                <w:lang w:eastAsia="pl-PL"/>
                <w14:ligatures w14:val="none"/>
              </w:rPr>
              <w:t xml:space="preserve">w 2022 r. najprawdopodobniej był skutkiem zrezygnowania z tej formy udzielania porad przez wielu starostów. </w:t>
            </w:r>
          </w:p>
          <w:p w14:paraId="0688538B" w14:textId="30B0708D" w:rsidR="00177F9E" w:rsidRPr="00177F9E" w:rsidRDefault="00177F9E" w:rsidP="00D8548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Z dniem 1 lipca 2023 r.</w:t>
            </w:r>
            <w:r w:rsidR="00615DAB">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w:t>
            </w:r>
            <w:r w:rsidR="00062891">
              <w:rPr>
                <w:rFonts w:ascii="Times New Roman" w:eastAsia="Times New Roman" w:hAnsi="Times New Roman" w:cs="Times New Roman"/>
                <w:kern w:val="0"/>
                <w:sz w:val="22"/>
                <w:szCs w:val="22"/>
                <w:lang w:eastAsia="pl-PL"/>
                <w14:ligatures w14:val="none"/>
              </w:rPr>
              <w:t>w wyniku</w:t>
            </w:r>
            <w:r w:rsidRPr="00177F9E">
              <w:rPr>
                <w:rFonts w:ascii="Times New Roman" w:eastAsia="Times New Roman" w:hAnsi="Times New Roman" w:cs="Times New Roman"/>
                <w:kern w:val="0"/>
                <w:sz w:val="22"/>
                <w:szCs w:val="22"/>
                <w:lang w:eastAsia="pl-PL"/>
                <w14:ligatures w14:val="none"/>
              </w:rPr>
              <w:t xml:space="preserve"> zniesienia stanu zagrożenia epidemicznego</w:t>
            </w:r>
            <w:r w:rsidR="00615DAB">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wyłączona została możliwość udzielania porad zdalnych dla wszystkich beneficjentów. Skutkiem tego był spadek liczby porad udzielonych zdalnie do 28 232, gdzie liczba wszystkich porad wyniosła 509 063, a liczba porad obywatelskich stanowiła 93 302. Przy czym podkreślenia wymaga, że porady zdalne umożliwiają skorzystanie z pomocy osobom znajdującym się za granicą lub przebywających w ośrodkach zamkniętych. Ponadto, pojawia się możliwość wykorzystania specjalizacji punktów, jaką już przewiduje ustawa</w:t>
            </w:r>
            <w:r w:rsidR="006F29B0">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w:t>
            </w:r>
            <w:r w:rsidR="006F29B0">
              <w:rPr>
                <w:rFonts w:ascii="Times New Roman" w:eastAsia="Times New Roman" w:hAnsi="Times New Roman" w:cs="Times New Roman"/>
                <w:kern w:val="0"/>
                <w:sz w:val="22"/>
                <w:szCs w:val="22"/>
                <w:lang w:eastAsia="pl-PL"/>
                <w14:ligatures w14:val="none"/>
              </w:rPr>
              <w:t>Z</w:t>
            </w:r>
            <w:r w:rsidRPr="00177F9E">
              <w:rPr>
                <w:rFonts w:ascii="Times New Roman" w:eastAsia="Times New Roman" w:hAnsi="Times New Roman" w:cs="Times New Roman"/>
                <w:kern w:val="0"/>
                <w:sz w:val="22"/>
                <w:szCs w:val="22"/>
                <w:lang w:eastAsia="pl-PL"/>
                <w14:ligatures w14:val="none"/>
              </w:rPr>
              <w:t xml:space="preserve">amiast „ogólnego” doradcy w najbliższym punkcie stacjonarnym, beneficjent będzie miał możliwość dostępu do doradcy wyspecjalizowanego w potrzebnym mu zagadnieniu w innym punkcie. Wszystko to wskazuje, że zapewnienie możliwości uzyskania porady podczas osobistej wizyty w punkcie lub za pośrednictwem środków porozumiewania się na odległość w zależności od preferencji osoby uprawnionej jest uzasadnione. Ze względu na znaczne zapotrzebowanie społeczne zaproponowano więc przywrócenie możliwości zdalnego </w:t>
            </w:r>
            <w:r w:rsidR="006F29B0" w:rsidRPr="006F29B0">
              <w:rPr>
                <w:rFonts w:ascii="Times New Roman" w:eastAsia="Times New Roman" w:hAnsi="Times New Roman" w:cs="Times New Roman"/>
                <w:kern w:val="0"/>
                <w:sz w:val="22"/>
                <w:szCs w:val="22"/>
                <w:lang w:eastAsia="pl-PL"/>
                <w14:ligatures w14:val="none"/>
              </w:rPr>
              <w:t>–</w:t>
            </w:r>
            <w:r w:rsidR="006F29B0">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 xml:space="preserve">za pośrednictwem środków porozumiewania się na odległość świadczenia pomocy jako stałej możliwości, której wybór należałby do beneficjenta pomocy, co niewątpliwie zwiększy efektywność oraz dostępność świadczonych usług pomocowych. W proponowanym rozwiązaniu beneficjent pomocy, w momencie zapisu dokonywałby wyboru, czy chce skorzystać z pomocy w punkcie, w bezpośrednim kontakcie z osobą udzielającą pomocy, czy preferuje pomoc zdalną (telefoniczną, za pomocą komunikatorów, Internetu). </w:t>
            </w:r>
          </w:p>
          <w:p w14:paraId="36F9C0E1" w14:textId="1EDD4324"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Konsekwencją powyższej propozycji powinno być zniesienie obowiązku składania oświadczeń o niemożności poniesienia kosztów odpłatnej pomocy przez osoby uprawnione oraz zniesienie obowiązku składania oświadczeń przez osoby korzystające z nieodpłatnej pomocy prawnej lub nieodpłatnego poradnictwa obywatelskiego w zakresie prowadzonej działalności gospodarczej o niezatrudnianiu </w:t>
            </w:r>
            <w:r w:rsidR="00D8548D">
              <w:rPr>
                <w:rFonts w:ascii="Times New Roman" w:eastAsia="Times New Roman" w:hAnsi="Times New Roman" w:cs="Times New Roman"/>
                <w:kern w:val="0"/>
                <w:sz w:val="22"/>
                <w:szCs w:val="22"/>
                <w:lang w:eastAsia="pl-PL"/>
                <w14:ligatures w14:val="none"/>
              </w:rPr>
              <w:t>innych osób</w:t>
            </w:r>
            <w:r w:rsidRPr="00177F9E">
              <w:rPr>
                <w:rFonts w:ascii="Times New Roman" w:eastAsia="Times New Roman" w:hAnsi="Times New Roman" w:cs="Times New Roman"/>
                <w:kern w:val="0"/>
                <w:sz w:val="22"/>
                <w:szCs w:val="22"/>
                <w:lang w:eastAsia="pl-PL"/>
                <w14:ligatures w14:val="none"/>
              </w:rPr>
              <w:t xml:space="preserve"> w ciągu ostatniego roku (uchylenie art. 4 ust. 2–6 ustawy), a</w:t>
            </w:r>
            <w:r w:rsidR="003377ED">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 xml:space="preserve">także uchylenie załącznika nr 1 do ustawy (art. 1 pkt 8 </w:t>
            </w:r>
            <w:r w:rsidR="00D8548D">
              <w:rPr>
                <w:rFonts w:ascii="Times New Roman" w:eastAsia="Times New Roman" w:hAnsi="Times New Roman" w:cs="Times New Roman"/>
                <w:kern w:val="0"/>
                <w:sz w:val="22"/>
                <w:szCs w:val="22"/>
                <w:lang w:eastAsia="pl-PL"/>
                <w14:ligatures w14:val="none"/>
              </w:rPr>
              <w:t>projektu ustawy</w:t>
            </w:r>
            <w:r w:rsidRPr="00177F9E">
              <w:rPr>
                <w:rFonts w:ascii="Times New Roman" w:eastAsia="Times New Roman" w:hAnsi="Times New Roman" w:cs="Times New Roman"/>
                <w:kern w:val="0"/>
                <w:sz w:val="22"/>
                <w:szCs w:val="22"/>
                <w:lang w:eastAsia="pl-PL"/>
                <w14:ligatures w14:val="none"/>
              </w:rPr>
              <w:t>).</w:t>
            </w:r>
          </w:p>
          <w:p w14:paraId="26695939" w14:textId="090713D2"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Powszechne korzystanie z porad zdalnych stoi w sprzeczności z efektywnym składaniem i przetwarzaniem oświadczeń. Trudno uznać za uzasadnione </w:t>
            </w:r>
            <w:r w:rsidR="00D8548D">
              <w:rPr>
                <w:rFonts w:ascii="Times New Roman" w:eastAsia="Times New Roman" w:hAnsi="Times New Roman" w:cs="Times New Roman"/>
                <w:kern w:val="0"/>
                <w:sz w:val="22"/>
                <w:szCs w:val="22"/>
                <w:lang w:eastAsia="pl-PL"/>
                <w14:ligatures w14:val="none"/>
              </w:rPr>
              <w:t xml:space="preserve">osobiste </w:t>
            </w:r>
            <w:r w:rsidRPr="00177F9E">
              <w:rPr>
                <w:rFonts w:ascii="Times New Roman" w:eastAsia="Times New Roman" w:hAnsi="Times New Roman" w:cs="Times New Roman"/>
                <w:kern w:val="0"/>
                <w:sz w:val="22"/>
                <w:szCs w:val="22"/>
                <w:lang w:eastAsia="pl-PL"/>
                <w14:ligatures w14:val="none"/>
              </w:rPr>
              <w:t>składanie</w:t>
            </w:r>
            <w:r w:rsidR="00D8548D">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oświadczeń pisemnych przy jednoczesnym korzystaniu z</w:t>
            </w:r>
            <w:r w:rsidR="001A5F78">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usługi z pomocą środków porozumiewania się na odległość. Nie jest uzasadnione również utrzymywanie dualizmu w</w:t>
            </w:r>
            <w:r w:rsidR="001A5F78">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zakresie formalności – innych rygorów prawnych dla korzystania z porad stacjonarnych i zdalnych. Podobnie w czasie epidemii koronawirusa beneficjenci korzystający z porad zdalnych nie składali przedmiotowych oświadczeń. Wreszcie należy wskazać, ż</w:t>
            </w:r>
            <w:r w:rsidR="00D8548D">
              <w:rPr>
                <w:rFonts w:ascii="Times New Roman" w:eastAsia="Times New Roman" w:hAnsi="Times New Roman" w:cs="Times New Roman"/>
                <w:kern w:val="0"/>
                <w:sz w:val="22"/>
                <w:szCs w:val="22"/>
                <w:lang w:eastAsia="pl-PL"/>
                <w14:ligatures w14:val="none"/>
              </w:rPr>
              <w:t>e </w:t>
            </w:r>
            <w:r w:rsidRPr="00177F9E">
              <w:rPr>
                <w:rFonts w:ascii="Times New Roman" w:eastAsia="Times New Roman" w:hAnsi="Times New Roman" w:cs="Times New Roman"/>
                <w:kern w:val="0"/>
                <w:sz w:val="22"/>
                <w:szCs w:val="22"/>
                <w:lang w:eastAsia="pl-PL"/>
                <w14:ligatures w14:val="none"/>
              </w:rPr>
              <w:t>otrzymanie porady zdalnej z utrzymaniem obowiązku uprzedniego złożenia oświadczenia na piśmie nie daje gwarancji zapewnienia, ż</w:t>
            </w:r>
            <w:r w:rsidR="00D16132">
              <w:rPr>
                <w:rFonts w:ascii="Times New Roman" w:eastAsia="Times New Roman" w:hAnsi="Times New Roman" w:cs="Times New Roman"/>
                <w:kern w:val="0"/>
                <w:sz w:val="22"/>
                <w:szCs w:val="22"/>
                <w:lang w:eastAsia="pl-PL"/>
                <w14:ligatures w14:val="none"/>
              </w:rPr>
              <w:t>e</w:t>
            </w:r>
            <w:r w:rsidRPr="00177F9E">
              <w:rPr>
                <w:rFonts w:ascii="Times New Roman" w:eastAsia="Times New Roman" w:hAnsi="Times New Roman" w:cs="Times New Roman"/>
                <w:kern w:val="0"/>
                <w:sz w:val="22"/>
                <w:szCs w:val="22"/>
                <w:lang w:eastAsia="pl-PL"/>
                <w14:ligatures w14:val="none"/>
              </w:rPr>
              <w:t xml:space="preserve"> osoba rozmawiająca przez telefon to rzeczywiście ta, która złożyła oświadczenie. </w:t>
            </w:r>
          </w:p>
          <w:p w14:paraId="32909F3F" w14:textId="14F216C5"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bookmarkStart w:id="2" w:name="_Hlk189467667"/>
            <w:r w:rsidRPr="00177F9E">
              <w:rPr>
                <w:rFonts w:ascii="Times New Roman" w:eastAsia="Times New Roman" w:hAnsi="Times New Roman" w:cs="Times New Roman"/>
                <w:kern w:val="0"/>
                <w:sz w:val="22"/>
                <w:szCs w:val="22"/>
                <w:lang w:eastAsia="pl-PL"/>
                <w14:ligatures w14:val="none"/>
              </w:rPr>
              <w:t xml:space="preserve">Zniesienie obowiązku składania pisemnego oświadczenia </w:t>
            </w:r>
            <w:bookmarkEnd w:id="2"/>
            <w:r w:rsidRPr="00177F9E">
              <w:rPr>
                <w:rFonts w:ascii="Times New Roman" w:eastAsia="Times New Roman" w:hAnsi="Times New Roman" w:cs="Times New Roman"/>
                <w:kern w:val="0"/>
                <w:sz w:val="22"/>
                <w:szCs w:val="22"/>
                <w:lang w:eastAsia="pl-PL"/>
                <w14:ligatures w14:val="none"/>
              </w:rPr>
              <w:t xml:space="preserve">o niemożności poniesienia kosztów odpłatnej pomocy prawnej przez osoby uprawnione powinno przyczynić się </w:t>
            </w:r>
            <w:bookmarkStart w:id="3" w:name="_Hlk189467583"/>
            <w:r w:rsidRPr="00177F9E">
              <w:rPr>
                <w:rFonts w:ascii="Times New Roman" w:eastAsia="Times New Roman" w:hAnsi="Times New Roman" w:cs="Times New Roman"/>
                <w:kern w:val="0"/>
                <w:sz w:val="22"/>
                <w:szCs w:val="22"/>
                <w:lang w:eastAsia="pl-PL"/>
                <w14:ligatures w14:val="none"/>
              </w:rPr>
              <w:t xml:space="preserve">do ułatwienia dostępu dla osób potrzebujących do </w:t>
            </w:r>
            <w:r w:rsidR="00AF6DD3">
              <w:rPr>
                <w:rFonts w:ascii="Times New Roman" w:eastAsia="Times New Roman" w:hAnsi="Times New Roman" w:cs="Times New Roman"/>
                <w:kern w:val="0"/>
                <w:sz w:val="22"/>
                <w:szCs w:val="22"/>
                <w:lang w:eastAsia="pl-PL"/>
                <w14:ligatures w14:val="none"/>
              </w:rPr>
              <w:t xml:space="preserve">nieodpłatnej pomocy prawnej oraz nieodpłatnego poradnictwa obywatelskiego. </w:t>
            </w:r>
            <w:bookmarkEnd w:id="3"/>
          </w:p>
          <w:p w14:paraId="713A0EEC" w14:textId="2F43AE85"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Ponadto, projekt </w:t>
            </w:r>
            <w:r w:rsidR="00AF6DD3">
              <w:rPr>
                <w:rFonts w:ascii="Times New Roman" w:eastAsia="Times New Roman" w:hAnsi="Times New Roman" w:cs="Times New Roman"/>
                <w:kern w:val="0"/>
                <w:sz w:val="22"/>
                <w:szCs w:val="22"/>
                <w:lang w:eastAsia="pl-PL"/>
                <w14:ligatures w14:val="none"/>
              </w:rPr>
              <w:t xml:space="preserve">ustawy </w:t>
            </w:r>
            <w:r w:rsidRPr="00177F9E">
              <w:rPr>
                <w:rFonts w:ascii="Times New Roman" w:eastAsia="Times New Roman" w:hAnsi="Times New Roman" w:cs="Times New Roman"/>
                <w:kern w:val="0"/>
                <w:sz w:val="22"/>
                <w:szCs w:val="22"/>
                <w:lang w:eastAsia="pl-PL"/>
                <w14:ligatures w14:val="none"/>
              </w:rPr>
              <w:t>zakłada zmianę treści art. 8 ust. 3</w:t>
            </w:r>
            <w:r w:rsidR="00AF6DD3">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 xml:space="preserve">przez doprecyzowanie, że nieodpłatna pomoc prawna lub nieodpłatne poradnictwo obywatelskie udzielane są podczas dyżuru. W zaproponowanym rozwiązaniu podkreślono, </w:t>
            </w:r>
            <w:r w:rsidRPr="00177F9E">
              <w:rPr>
                <w:rFonts w:ascii="Times New Roman" w:eastAsia="Times New Roman" w:hAnsi="Times New Roman" w:cs="Times New Roman"/>
                <w:kern w:val="0"/>
                <w:sz w:val="22"/>
                <w:szCs w:val="22"/>
                <w:lang w:eastAsia="pl-PL"/>
                <w14:ligatures w14:val="none"/>
              </w:rPr>
              <w:lastRenderedPageBreak/>
              <w:t>że</w:t>
            </w:r>
            <w:r w:rsidR="00B04695">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dyżur</w:t>
            </w:r>
            <w:r w:rsidR="001339D4">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nieodpłatnej pomocy prawnej lub nieodpłatnego poradnictwa obywatelskiego odbywa się w punkcie w</w:t>
            </w:r>
            <w:r w:rsidR="00B04695">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przeciętnym wymiarze 5 dni w tygodniu i trwa co najmniej 4 godziny dziennie, z wyłączeniem dni, o których mowa w</w:t>
            </w:r>
            <w:r w:rsidR="00B04695">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art. 1 pkt 1 ustawy z dnia 18 stycznia 1951 r. o dniach wolnych od pracy (Dz. U. z 2020 r. poz. 1920</w:t>
            </w:r>
            <w:r w:rsidR="00D16132">
              <w:rPr>
                <w:rFonts w:ascii="Times New Roman" w:eastAsia="Times New Roman" w:hAnsi="Times New Roman" w:cs="Times New Roman"/>
                <w:kern w:val="0"/>
                <w:sz w:val="22"/>
                <w:szCs w:val="22"/>
                <w:lang w:eastAsia="pl-PL"/>
                <w14:ligatures w14:val="none"/>
              </w:rPr>
              <w:t xml:space="preserve"> oraz z 2024 r. poz.</w:t>
            </w:r>
            <w:r w:rsidR="00B100A9">
              <w:rPr>
                <w:rFonts w:ascii="Times New Roman" w:eastAsia="Times New Roman" w:hAnsi="Times New Roman" w:cs="Times New Roman"/>
                <w:kern w:val="0"/>
                <w:sz w:val="22"/>
                <w:szCs w:val="22"/>
                <w:lang w:eastAsia="pl-PL"/>
                <w14:ligatures w14:val="none"/>
              </w:rPr>
              <w:t> </w:t>
            </w:r>
            <w:r w:rsidR="00D16132">
              <w:rPr>
                <w:rFonts w:ascii="Times New Roman" w:eastAsia="Times New Roman" w:hAnsi="Times New Roman" w:cs="Times New Roman"/>
                <w:kern w:val="0"/>
                <w:sz w:val="22"/>
                <w:szCs w:val="22"/>
                <w:lang w:eastAsia="pl-PL"/>
                <w14:ligatures w14:val="none"/>
              </w:rPr>
              <w:t>1965</w:t>
            </w:r>
            <w:r w:rsidRPr="00177F9E">
              <w:rPr>
                <w:rFonts w:ascii="Times New Roman" w:eastAsia="Times New Roman" w:hAnsi="Times New Roman" w:cs="Times New Roman"/>
                <w:kern w:val="0"/>
                <w:sz w:val="22"/>
                <w:szCs w:val="22"/>
                <w:lang w:eastAsia="pl-PL"/>
                <w14:ligatures w14:val="none"/>
              </w:rPr>
              <w:t>). Rozwiązanie to jest związane</w:t>
            </w:r>
            <w:r w:rsidR="00B100A9">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z</w:t>
            </w:r>
            <w:r w:rsidR="00B100A9">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zakładanym wprowadzeniem (dodanie w art. 8 ust. 3a–3b)</w:t>
            </w:r>
            <w:r w:rsidR="00C85EB3">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możliwości zdalnego,</w:t>
            </w:r>
            <w:r w:rsidR="00270AE3">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za</w:t>
            </w:r>
            <w:r w:rsidR="00270AE3">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pośrednictwem środków porozumiewania się na odległość, świadczenia pomocy jako stałej możliwości, której wybór należałby do beneficjenta pomocy,</w:t>
            </w:r>
            <w:r w:rsidR="00270AE3">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co niewątpliwie zwiększy efektywność oraz dostępność świadczonych usług pomocowych, gdyż aktualnie takie rozwiązanie przewidziane jest dla ograniczonego kręgu osób (osoby ze znaczną niepełnosprawnością ruchową oraz osoby doświadczające trudności w komunikowaniu się – art. 8 ust. 8 ustawy), a także dla wszystkich osób uprawnionych jedynie w okresie trwania epidemii, stanu zagrożenia epidemicznego oraz stanu nadzwyczajnego (art. 28a ustawy).</w:t>
            </w:r>
            <w:r w:rsidRPr="00177F9E">
              <w:rPr>
                <w:rFonts w:ascii="Times New Roman" w:eastAsia="Times New Roman" w:hAnsi="Times New Roman" w:cs="Times New Roman"/>
                <w:kern w:val="0"/>
                <w:sz w:val="22"/>
                <w:szCs w:val="22"/>
                <w:lang w:eastAsia="pl-PL"/>
                <w14:ligatures w14:val="none"/>
              </w:rPr>
              <w:tab/>
              <w:t xml:space="preserve"> </w:t>
            </w:r>
          </w:p>
          <w:p w14:paraId="5B5B682C" w14:textId="77777777"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W ramach projektowanych zmian po art. 8a dodaje się art. 8b, zgodnie z którym w przypadku obowiązywania stanu zagrożenia epidemicznego, stanu epidemii albo wprowadzenia stanu nadzwyczajnego starosta może ustalić, że udzielanie nieodpłatnej pomocy prawnej lub świadczenie nieodpłatnego poradnictwa obywatelskiego następuje wyłącznie za pośrednictwem środków porozumiewania się na odległość. Dodatkowo na wniosek osoby udzielającej nieodpłatnej pomocy prawnej lub świadczącej nieodpłatne poradnictwo obywatelskie, starosta może również określić warunki techniczne odbywania dyżurów poza punktem. W przypadku wystąpienia powyższej sytuacji zrezygnowano z obowiązku składania przez osobę uprawnioną, przed uzyskaniem nieodpłatnej pomocy prawnej, pisemnego oświadczenia, że jest świadoma uzyskania nieodpłatnej pomocy prawnej od osoby niebędącej adwokatem, radcą prawnym albo doradcą podatkowym.</w:t>
            </w:r>
          </w:p>
          <w:p w14:paraId="5CB84450" w14:textId="70AA954D"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Zmianie ulega również art. 11 ust. 5</w:t>
            </w:r>
            <w:r w:rsidR="00A366E5">
              <w:rPr>
                <w:rFonts w:ascii="Times New Roman" w:eastAsia="Times New Roman" w:hAnsi="Times New Roman" w:cs="Times New Roman"/>
                <w:kern w:val="0"/>
                <w:sz w:val="22"/>
                <w:szCs w:val="22"/>
                <w:lang w:eastAsia="pl-PL"/>
                <w14:ligatures w14:val="none"/>
              </w:rPr>
              <w:t xml:space="preserve"> ustawy</w:t>
            </w:r>
            <w:r w:rsidRPr="00177F9E">
              <w:rPr>
                <w:rFonts w:ascii="Times New Roman" w:eastAsia="Times New Roman" w:hAnsi="Times New Roman" w:cs="Times New Roman"/>
                <w:kern w:val="0"/>
                <w:sz w:val="22"/>
                <w:szCs w:val="22"/>
                <w:lang w:eastAsia="pl-PL"/>
                <w14:ligatures w14:val="none"/>
              </w:rPr>
              <w:t>, nowo projektowany przepis w swojej materii odnosi się do oświadczenia osoby uprawnionej, że jest świadoma uzyskania nieodpłatnej pomocy prawnej od osoby niebędącej adwokatem, radcą prawnym albo doradcą podatkowym. Wskazano, że przedmiotowe oświadczenie przechowuje się w warunkach uniemożliwiających dostęp do niego osób trzecich. Jednocześnie wskazano, że administratorem danych osobowych zawartych w tym oświadczeniu jest starosta, który zobowiązany jest do przechowywania dokumentu przez trzy lata od końca roku kalendarzowego, w którym oświadczenie zostało sporządzone. W przepisie podkreślono również, że do dziesiątego dnia następnego miesiąca kalendarzowego oświadczenie przekazywane jest w sposób uniemożliwiający powiązanie go z kartą pomocy, w szczególności po usunięciu oznaczenia dnia jego złożenia.</w:t>
            </w:r>
          </w:p>
          <w:p w14:paraId="24219338" w14:textId="77777777" w:rsidR="00177F9E" w:rsidRPr="00177F9E" w:rsidRDefault="00177F9E" w:rsidP="003377ED">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Niezależnie od powyższego, zakłada się, że zniesienie obowiązku składania pisemnych oświadczeń o niemożności poniesienia kosztów odpłatnej pomocy prawnej powinno przynieść wzrost popytu na usługi nieodpłatnej pomocy prawnej.</w:t>
            </w:r>
          </w:p>
        </w:tc>
      </w:tr>
      <w:tr w:rsidR="00177F9E" w:rsidRPr="00177F9E" w14:paraId="7DD5309E" w14:textId="77777777" w:rsidTr="00A67F48">
        <w:trPr>
          <w:trHeight w:val="307"/>
          <w:jc w:val="center"/>
        </w:trPr>
        <w:tc>
          <w:tcPr>
            <w:tcW w:w="10916" w:type="dxa"/>
            <w:gridSpan w:val="22"/>
            <w:shd w:val="clear" w:color="auto" w:fill="99CCFF"/>
            <w:vAlign w:val="center"/>
          </w:tcPr>
          <w:p w14:paraId="6D98111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Cs w:val="20"/>
                <w:lang w:eastAsia="pl-PL"/>
                <w14:ligatures w14:val="none"/>
              </w:rPr>
            </w:pPr>
            <w:r w:rsidRPr="00177F9E">
              <w:rPr>
                <w:rFonts w:ascii="Times New Roman" w:eastAsia="Times New Roman" w:hAnsi="Times New Roman" w:cs="Arial"/>
                <w:b/>
                <w:kern w:val="0"/>
                <w:szCs w:val="20"/>
                <w:lang w:eastAsia="pl-PL"/>
                <w14:ligatures w14:val="none"/>
              </w:rPr>
              <w:lastRenderedPageBreak/>
              <w:t xml:space="preserve">3. Jak problem został rozwiązany w innych krajach, w szczególności krajach członkowskich OECD/UE? </w:t>
            </w:r>
          </w:p>
        </w:tc>
      </w:tr>
      <w:tr w:rsidR="00177F9E" w:rsidRPr="00177F9E" w14:paraId="4AAA4004" w14:textId="77777777" w:rsidTr="00A67F48">
        <w:trPr>
          <w:trHeight w:val="512"/>
          <w:jc w:val="center"/>
        </w:trPr>
        <w:tc>
          <w:tcPr>
            <w:tcW w:w="10916" w:type="dxa"/>
            <w:gridSpan w:val="22"/>
            <w:shd w:val="clear" w:color="auto" w:fill="auto"/>
          </w:tcPr>
          <w:p w14:paraId="76B70851"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FRANCJA</w:t>
            </w:r>
          </w:p>
          <w:p w14:paraId="66C7136B" w14:textId="69C02DBA"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Ustawodawstwo francuskie przewiduje pomoc prawną zarówno na etapie sądowym, jak i przedsądowym. Pomoc prawna na etapie przedsądowym </w:t>
            </w:r>
            <w:r w:rsidR="006C0FB0">
              <w:rPr>
                <w:rFonts w:ascii="Times New Roman" w:eastAsia="Times New Roman" w:hAnsi="Times New Roman" w:cs="Arial"/>
                <w:kern w:val="0"/>
                <w:sz w:val="22"/>
                <w:szCs w:val="22"/>
                <w:lang w:eastAsia="pl-PL"/>
                <w14:ligatures w14:val="none"/>
              </w:rPr>
              <w:t xml:space="preserve">jest </w:t>
            </w:r>
            <w:r w:rsidRPr="00177F9E">
              <w:rPr>
                <w:rFonts w:ascii="Times New Roman" w:eastAsia="Times New Roman" w:hAnsi="Times New Roman" w:cs="Arial"/>
                <w:kern w:val="0"/>
                <w:sz w:val="22"/>
                <w:szCs w:val="22"/>
                <w:lang w:eastAsia="pl-PL"/>
                <w14:ligatures w14:val="none"/>
              </w:rPr>
              <w:t>przyznawana</w:t>
            </w:r>
            <w:r w:rsidR="006C0FB0">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 xml:space="preserve">przez </w:t>
            </w:r>
            <w:proofErr w:type="spellStart"/>
            <w:r w:rsidRPr="00177F9E">
              <w:rPr>
                <w:rFonts w:ascii="Times New Roman" w:eastAsia="Times New Roman" w:hAnsi="Times New Roman" w:cs="Arial"/>
                <w:kern w:val="0"/>
                <w:sz w:val="22"/>
                <w:szCs w:val="22"/>
                <w:lang w:eastAsia="pl-PL"/>
                <w14:ligatures w14:val="none"/>
              </w:rPr>
              <w:t>conseil</w:t>
            </w:r>
            <w:proofErr w:type="spellEnd"/>
            <w:r w:rsidRPr="00177F9E">
              <w:rPr>
                <w:rFonts w:ascii="Times New Roman" w:eastAsia="Times New Roman" w:hAnsi="Times New Roman" w:cs="Arial"/>
                <w:kern w:val="0"/>
                <w:sz w:val="22"/>
                <w:szCs w:val="22"/>
                <w:lang w:eastAsia="pl-PL"/>
                <w14:ligatures w14:val="none"/>
              </w:rPr>
              <w:t xml:space="preserve"> </w:t>
            </w:r>
            <w:proofErr w:type="spellStart"/>
            <w:r w:rsidRPr="00177F9E">
              <w:rPr>
                <w:rFonts w:ascii="Times New Roman" w:eastAsia="Times New Roman" w:hAnsi="Times New Roman" w:cs="Arial"/>
                <w:kern w:val="0"/>
                <w:sz w:val="22"/>
                <w:szCs w:val="22"/>
                <w:lang w:eastAsia="pl-PL"/>
                <w14:ligatures w14:val="none"/>
              </w:rPr>
              <w:t>départemental</w:t>
            </w:r>
            <w:proofErr w:type="spellEnd"/>
            <w:r w:rsidRPr="00177F9E">
              <w:rPr>
                <w:rFonts w:ascii="Times New Roman" w:eastAsia="Times New Roman" w:hAnsi="Times New Roman" w:cs="Arial"/>
                <w:kern w:val="0"/>
                <w:sz w:val="22"/>
                <w:szCs w:val="22"/>
                <w:lang w:eastAsia="pl-PL"/>
                <w14:ligatures w14:val="none"/>
              </w:rPr>
              <w:t xml:space="preserve"> de </w:t>
            </w:r>
            <w:proofErr w:type="spellStart"/>
            <w:r w:rsidRPr="00177F9E">
              <w:rPr>
                <w:rFonts w:ascii="Times New Roman" w:eastAsia="Times New Roman" w:hAnsi="Times New Roman" w:cs="Arial"/>
                <w:kern w:val="0"/>
                <w:sz w:val="22"/>
                <w:szCs w:val="22"/>
                <w:lang w:eastAsia="pl-PL"/>
                <w14:ligatures w14:val="none"/>
              </w:rPr>
              <w:t>l’accès</w:t>
            </w:r>
            <w:proofErr w:type="spellEnd"/>
            <w:r w:rsidRPr="00177F9E">
              <w:rPr>
                <w:rFonts w:ascii="Times New Roman" w:eastAsia="Times New Roman" w:hAnsi="Times New Roman" w:cs="Arial"/>
                <w:kern w:val="0"/>
                <w:sz w:val="22"/>
                <w:szCs w:val="22"/>
                <w:lang w:eastAsia="pl-PL"/>
                <w14:ligatures w14:val="none"/>
              </w:rPr>
              <w:t xml:space="preserve"> au </w:t>
            </w:r>
            <w:proofErr w:type="spellStart"/>
            <w:r w:rsidRPr="00177F9E">
              <w:rPr>
                <w:rFonts w:ascii="Times New Roman" w:eastAsia="Times New Roman" w:hAnsi="Times New Roman" w:cs="Arial"/>
                <w:kern w:val="0"/>
                <w:sz w:val="22"/>
                <w:szCs w:val="22"/>
                <w:lang w:eastAsia="pl-PL"/>
                <w14:ligatures w14:val="none"/>
              </w:rPr>
              <w:t>droit</w:t>
            </w:r>
            <w:proofErr w:type="spellEnd"/>
            <w:r w:rsidRPr="00177F9E">
              <w:rPr>
                <w:rFonts w:ascii="Times New Roman" w:eastAsia="Times New Roman" w:hAnsi="Times New Roman" w:cs="Arial"/>
                <w:kern w:val="0"/>
                <w:sz w:val="22"/>
                <w:szCs w:val="22"/>
                <w:lang w:eastAsia="pl-PL"/>
                <w14:ligatures w14:val="none"/>
              </w:rPr>
              <w:t xml:space="preserve"> (CDAD) (biura pomocy prawnej). Natomiast </w:t>
            </w:r>
            <w:r w:rsidR="006C0FB0">
              <w:rPr>
                <w:rFonts w:ascii="Times New Roman" w:eastAsia="Times New Roman" w:hAnsi="Times New Roman" w:cs="Arial"/>
                <w:kern w:val="0"/>
                <w:sz w:val="22"/>
                <w:szCs w:val="22"/>
                <w:lang w:eastAsia="pl-PL"/>
                <w14:ligatures w14:val="none"/>
              </w:rPr>
              <w:t xml:space="preserve">jest </w:t>
            </w:r>
            <w:r w:rsidRPr="00177F9E">
              <w:rPr>
                <w:rFonts w:ascii="Times New Roman" w:eastAsia="Times New Roman" w:hAnsi="Times New Roman" w:cs="Arial"/>
                <w:kern w:val="0"/>
                <w:sz w:val="22"/>
                <w:szCs w:val="22"/>
                <w:lang w:eastAsia="pl-PL"/>
                <w14:ligatures w14:val="none"/>
              </w:rPr>
              <w:t xml:space="preserve">świadczona przez tzw. </w:t>
            </w:r>
            <w:proofErr w:type="spellStart"/>
            <w:r w:rsidRPr="00177F9E">
              <w:rPr>
                <w:rFonts w:ascii="Times New Roman" w:eastAsia="Times New Roman" w:hAnsi="Times New Roman" w:cs="Arial"/>
                <w:kern w:val="0"/>
                <w:sz w:val="22"/>
                <w:szCs w:val="22"/>
                <w:lang w:eastAsia="pl-PL"/>
                <w14:ligatures w14:val="none"/>
              </w:rPr>
              <w:t>Maisons</w:t>
            </w:r>
            <w:proofErr w:type="spellEnd"/>
            <w:r w:rsidRPr="00177F9E">
              <w:rPr>
                <w:rFonts w:ascii="Times New Roman" w:eastAsia="Times New Roman" w:hAnsi="Times New Roman" w:cs="Arial"/>
                <w:kern w:val="0"/>
                <w:sz w:val="22"/>
                <w:szCs w:val="22"/>
                <w:lang w:eastAsia="pl-PL"/>
                <w14:ligatures w14:val="none"/>
              </w:rPr>
              <w:t xml:space="preserve"> de </w:t>
            </w:r>
            <w:proofErr w:type="spellStart"/>
            <w:r w:rsidRPr="00177F9E">
              <w:rPr>
                <w:rFonts w:ascii="Times New Roman" w:eastAsia="Times New Roman" w:hAnsi="Times New Roman" w:cs="Arial"/>
                <w:kern w:val="0"/>
                <w:sz w:val="22"/>
                <w:szCs w:val="22"/>
                <w:lang w:eastAsia="pl-PL"/>
                <w14:ligatures w14:val="none"/>
              </w:rPr>
              <w:t>justices</w:t>
            </w:r>
            <w:proofErr w:type="spellEnd"/>
            <w:r w:rsidRPr="00177F9E">
              <w:rPr>
                <w:rFonts w:ascii="Times New Roman" w:eastAsia="Times New Roman" w:hAnsi="Times New Roman" w:cs="Arial"/>
                <w:kern w:val="0"/>
                <w:sz w:val="22"/>
                <w:szCs w:val="22"/>
                <w:lang w:eastAsia="pl-PL"/>
                <w14:ligatures w14:val="none"/>
              </w:rPr>
              <w:t xml:space="preserve"> et </w:t>
            </w:r>
            <w:proofErr w:type="spellStart"/>
            <w:r w:rsidRPr="00177F9E">
              <w:rPr>
                <w:rFonts w:ascii="Times New Roman" w:eastAsia="Times New Roman" w:hAnsi="Times New Roman" w:cs="Arial"/>
                <w:kern w:val="0"/>
                <w:sz w:val="22"/>
                <w:szCs w:val="22"/>
                <w:lang w:eastAsia="pl-PL"/>
                <w14:ligatures w14:val="none"/>
              </w:rPr>
              <w:t>du</w:t>
            </w:r>
            <w:proofErr w:type="spellEnd"/>
            <w:r w:rsidRPr="00177F9E">
              <w:rPr>
                <w:rFonts w:ascii="Times New Roman" w:eastAsia="Times New Roman" w:hAnsi="Times New Roman" w:cs="Arial"/>
                <w:kern w:val="0"/>
                <w:sz w:val="22"/>
                <w:szCs w:val="22"/>
                <w:lang w:eastAsia="pl-PL"/>
                <w14:ligatures w14:val="none"/>
              </w:rPr>
              <w:t xml:space="preserve"> </w:t>
            </w:r>
            <w:proofErr w:type="spellStart"/>
            <w:r w:rsidRPr="00177F9E">
              <w:rPr>
                <w:rFonts w:ascii="Times New Roman" w:eastAsia="Times New Roman" w:hAnsi="Times New Roman" w:cs="Arial"/>
                <w:kern w:val="0"/>
                <w:sz w:val="22"/>
                <w:szCs w:val="22"/>
                <w:lang w:eastAsia="pl-PL"/>
                <w14:ligatures w14:val="none"/>
              </w:rPr>
              <w:t>droit</w:t>
            </w:r>
            <w:proofErr w:type="spellEnd"/>
            <w:r w:rsidRPr="00177F9E">
              <w:rPr>
                <w:rFonts w:ascii="Times New Roman" w:eastAsia="Times New Roman" w:hAnsi="Times New Roman" w:cs="Arial"/>
                <w:kern w:val="0"/>
                <w:sz w:val="22"/>
                <w:szCs w:val="22"/>
                <w:lang w:eastAsia="pl-PL"/>
                <w14:ligatures w14:val="none"/>
              </w:rPr>
              <w:t xml:space="preserve"> (domy sprawiedliwości i prawa), które </w:t>
            </w:r>
            <w:r w:rsidR="006C0FB0">
              <w:rPr>
                <w:rFonts w:ascii="Times New Roman" w:eastAsia="Times New Roman" w:hAnsi="Times New Roman" w:cs="Arial"/>
                <w:kern w:val="0"/>
                <w:sz w:val="22"/>
                <w:szCs w:val="22"/>
                <w:lang w:eastAsia="pl-PL"/>
                <w14:ligatures w14:val="none"/>
              </w:rPr>
              <w:t xml:space="preserve">są </w:t>
            </w:r>
            <w:r w:rsidRPr="00177F9E">
              <w:rPr>
                <w:rFonts w:ascii="Times New Roman" w:eastAsia="Times New Roman" w:hAnsi="Times New Roman" w:cs="Arial"/>
                <w:kern w:val="0"/>
                <w:sz w:val="22"/>
                <w:szCs w:val="22"/>
                <w:lang w:eastAsia="pl-PL"/>
                <w14:ligatures w14:val="none"/>
              </w:rPr>
              <w:t>odpowiedzialne</w:t>
            </w:r>
            <w:r w:rsidR="006C0FB0">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 xml:space="preserve">za dostarczanie porad prawnych (zakres ich działania nie może być rozszerzony ponad podstawowe poradnictwo prawne). Wreszcie pomoc prawna świadczona jest przez szereg organizacji pozarządowych. </w:t>
            </w:r>
          </w:p>
          <w:p w14:paraId="7E40E3C8"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proofErr w:type="spellStart"/>
            <w:r w:rsidRPr="00177F9E">
              <w:rPr>
                <w:rFonts w:ascii="Times New Roman" w:eastAsia="Times New Roman" w:hAnsi="Times New Roman" w:cs="Arial"/>
                <w:kern w:val="0"/>
                <w:sz w:val="22"/>
                <w:szCs w:val="22"/>
                <w:lang w:eastAsia="pl-PL"/>
                <w14:ligatures w14:val="none"/>
              </w:rPr>
              <w:t>Conseil</w:t>
            </w:r>
            <w:proofErr w:type="spellEnd"/>
            <w:r w:rsidRPr="00177F9E">
              <w:rPr>
                <w:rFonts w:ascii="Times New Roman" w:eastAsia="Times New Roman" w:hAnsi="Times New Roman" w:cs="Arial"/>
                <w:kern w:val="0"/>
                <w:sz w:val="22"/>
                <w:szCs w:val="22"/>
                <w:lang w:eastAsia="pl-PL"/>
                <w14:ligatures w14:val="none"/>
              </w:rPr>
              <w:t xml:space="preserve"> </w:t>
            </w:r>
            <w:proofErr w:type="spellStart"/>
            <w:r w:rsidRPr="00177F9E">
              <w:rPr>
                <w:rFonts w:ascii="Times New Roman" w:eastAsia="Times New Roman" w:hAnsi="Times New Roman" w:cs="Arial"/>
                <w:kern w:val="0"/>
                <w:sz w:val="22"/>
                <w:szCs w:val="22"/>
                <w:lang w:eastAsia="pl-PL"/>
                <w14:ligatures w14:val="none"/>
              </w:rPr>
              <w:t>départemental</w:t>
            </w:r>
            <w:proofErr w:type="spellEnd"/>
            <w:r w:rsidRPr="00177F9E">
              <w:rPr>
                <w:rFonts w:ascii="Times New Roman" w:eastAsia="Times New Roman" w:hAnsi="Times New Roman" w:cs="Arial"/>
                <w:kern w:val="0"/>
                <w:sz w:val="22"/>
                <w:szCs w:val="22"/>
                <w:lang w:eastAsia="pl-PL"/>
                <w14:ligatures w14:val="none"/>
              </w:rPr>
              <w:t xml:space="preserve"> de </w:t>
            </w:r>
            <w:proofErr w:type="spellStart"/>
            <w:r w:rsidRPr="00177F9E">
              <w:rPr>
                <w:rFonts w:ascii="Times New Roman" w:eastAsia="Times New Roman" w:hAnsi="Times New Roman" w:cs="Arial"/>
                <w:kern w:val="0"/>
                <w:sz w:val="22"/>
                <w:szCs w:val="22"/>
                <w:lang w:eastAsia="pl-PL"/>
                <w14:ligatures w14:val="none"/>
              </w:rPr>
              <w:t>l'accès</w:t>
            </w:r>
            <w:proofErr w:type="spellEnd"/>
            <w:r w:rsidRPr="00177F9E">
              <w:rPr>
                <w:rFonts w:ascii="Times New Roman" w:eastAsia="Times New Roman" w:hAnsi="Times New Roman" w:cs="Arial"/>
                <w:kern w:val="0"/>
                <w:sz w:val="22"/>
                <w:szCs w:val="22"/>
                <w:lang w:eastAsia="pl-PL"/>
                <w14:ligatures w14:val="none"/>
              </w:rPr>
              <w:t xml:space="preserve"> au </w:t>
            </w:r>
            <w:proofErr w:type="spellStart"/>
            <w:r w:rsidRPr="00177F9E">
              <w:rPr>
                <w:rFonts w:ascii="Times New Roman" w:eastAsia="Times New Roman" w:hAnsi="Times New Roman" w:cs="Arial"/>
                <w:kern w:val="0"/>
                <w:sz w:val="22"/>
                <w:szCs w:val="22"/>
                <w:lang w:eastAsia="pl-PL"/>
                <w14:ligatures w14:val="none"/>
              </w:rPr>
              <w:t>droit</w:t>
            </w:r>
            <w:proofErr w:type="spellEnd"/>
            <w:r w:rsidRPr="00177F9E">
              <w:rPr>
                <w:rFonts w:ascii="Times New Roman" w:eastAsia="Times New Roman" w:hAnsi="Times New Roman" w:cs="Arial"/>
                <w:kern w:val="0"/>
                <w:sz w:val="22"/>
                <w:szCs w:val="22"/>
                <w:lang w:eastAsia="pl-PL"/>
                <w14:ligatures w14:val="none"/>
              </w:rPr>
              <w:t xml:space="preserve"> (CDAD) działa przy każdym z Sądów Wielkiej Instancji (</w:t>
            </w:r>
            <w:proofErr w:type="spellStart"/>
            <w:r w:rsidRPr="00177F9E">
              <w:rPr>
                <w:rFonts w:ascii="Times New Roman" w:eastAsia="Times New Roman" w:hAnsi="Times New Roman" w:cs="Arial"/>
                <w:kern w:val="0"/>
                <w:sz w:val="22"/>
                <w:szCs w:val="22"/>
                <w:lang w:eastAsia="pl-PL"/>
                <w14:ligatures w14:val="none"/>
              </w:rPr>
              <w:t>tribubnal</w:t>
            </w:r>
            <w:proofErr w:type="spellEnd"/>
            <w:r w:rsidRPr="00177F9E">
              <w:rPr>
                <w:rFonts w:ascii="Times New Roman" w:eastAsia="Times New Roman" w:hAnsi="Times New Roman" w:cs="Arial"/>
                <w:kern w:val="0"/>
                <w:sz w:val="22"/>
                <w:szCs w:val="22"/>
                <w:lang w:eastAsia="pl-PL"/>
                <w14:ligatures w14:val="none"/>
              </w:rPr>
              <w:t xml:space="preserve"> de </w:t>
            </w:r>
            <w:proofErr w:type="spellStart"/>
            <w:r w:rsidRPr="00177F9E">
              <w:rPr>
                <w:rFonts w:ascii="Times New Roman" w:eastAsia="Times New Roman" w:hAnsi="Times New Roman" w:cs="Arial"/>
                <w:kern w:val="0"/>
                <w:sz w:val="22"/>
                <w:szCs w:val="22"/>
                <w:lang w:eastAsia="pl-PL"/>
                <w14:ligatures w14:val="none"/>
              </w:rPr>
              <w:t>grande</w:t>
            </w:r>
            <w:proofErr w:type="spellEnd"/>
            <w:r w:rsidRPr="00177F9E">
              <w:rPr>
                <w:rFonts w:ascii="Times New Roman" w:eastAsia="Times New Roman" w:hAnsi="Times New Roman" w:cs="Arial"/>
                <w:kern w:val="0"/>
                <w:sz w:val="22"/>
                <w:szCs w:val="22"/>
                <w:lang w:eastAsia="pl-PL"/>
                <w14:ligatures w14:val="none"/>
              </w:rPr>
              <w:t xml:space="preserve"> </w:t>
            </w:r>
            <w:proofErr w:type="spellStart"/>
            <w:r w:rsidRPr="00177F9E">
              <w:rPr>
                <w:rFonts w:ascii="Times New Roman" w:eastAsia="Times New Roman" w:hAnsi="Times New Roman" w:cs="Arial"/>
                <w:kern w:val="0"/>
                <w:sz w:val="22"/>
                <w:szCs w:val="22"/>
                <w:lang w:eastAsia="pl-PL"/>
                <w14:ligatures w14:val="none"/>
              </w:rPr>
              <w:t>instance</w:t>
            </w:r>
            <w:proofErr w:type="spellEnd"/>
            <w:r w:rsidRPr="00177F9E">
              <w:rPr>
                <w:rFonts w:ascii="Times New Roman" w:eastAsia="Times New Roman" w:hAnsi="Times New Roman" w:cs="Arial"/>
                <w:kern w:val="0"/>
                <w:sz w:val="22"/>
                <w:szCs w:val="22"/>
                <w:lang w:eastAsia="pl-PL"/>
                <w14:ligatures w14:val="none"/>
              </w:rPr>
              <w:t xml:space="preserve">), usytuowanych w stolicach departamentów francuskich. Dodatkowo, biura CDAD zostały utworzone przy Sądzie Kasacyjnym, Radzie Stanu i Komisji ds. Uchodźców. Zadaniem CDAD jest rozpatrywanie wniosków o przyznanie pomocy prawnej i podejmowanie decyzji w tej sprawie. CDAD może również, na wniosek prokuratora, sądu orzekającego w danej sprawie lub każdej zainteresowanej osoby, cofnąć tę pomoc. </w:t>
            </w:r>
          </w:p>
          <w:p w14:paraId="1A6F6FC9" w14:textId="0823EB8C"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Pomoc prawna, świadczona przez domy sprawiedliwości i prawa, </w:t>
            </w:r>
            <w:r w:rsidR="006C0FB0">
              <w:rPr>
                <w:rFonts w:ascii="Times New Roman" w:eastAsia="Times New Roman" w:hAnsi="Times New Roman" w:cs="Arial"/>
                <w:kern w:val="0"/>
                <w:sz w:val="22"/>
                <w:szCs w:val="22"/>
                <w:lang w:eastAsia="pl-PL"/>
                <w14:ligatures w14:val="none"/>
              </w:rPr>
              <w:t xml:space="preserve">jest </w:t>
            </w:r>
            <w:r w:rsidRPr="00177F9E">
              <w:rPr>
                <w:rFonts w:ascii="Times New Roman" w:eastAsia="Times New Roman" w:hAnsi="Times New Roman" w:cs="Arial"/>
                <w:kern w:val="0"/>
                <w:sz w:val="22"/>
                <w:szCs w:val="22"/>
                <w:lang w:eastAsia="pl-PL"/>
                <w14:ligatures w14:val="none"/>
              </w:rPr>
              <w:t xml:space="preserve">udzielana każdemu bez względu na wysokość dochodów. Osoby zainteresowane mogą uzyskać poradę prawną, udając się na dyżur pełniony przez adwokata w siedzibie domu sprawiedliwości i prawa. Porady dotyczą spraw najprostszych. W przypadku spraw o bardziej skomplikowanej naturze prawnej, klienci domów sprawiedliwości i prawa </w:t>
            </w:r>
            <w:r w:rsidR="006C0FB0">
              <w:rPr>
                <w:rFonts w:ascii="Times New Roman" w:eastAsia="Times New Roman" w:hAnsi="Times New Roman" w:cs="Arial"/>
                <w:kern w:val="0"/>
                <w:sz w:val="22"/>
                <w:szCs w:val="22"/>
                <w:lang w:eastAsia="pl-PL"/>
                <w14:ligatures w14:val="none"/>
              </w:rPr>
              <w:t xml:space="preserve">są </w:t>
            </w:r>
            <w:r w:rsidRPr="00177F9E">
              <w:rPr>
                <w:rFonts w:ascii="Times New Roman" w:eastAsia="Times New Roman" w:hAnsi="Times New Roman" w:cs="Arial"/>
                <w:kern w:val="0"/>
                <w:sz w:val="22"/>
                <w:szCs w:val="22"/>
                <w:lang w:eastAsia="pl-PL"/>
                <w14:ligatures w14:val="none"/>
              </w:rPr>
              <w:t xml:space="preserve">kierowani do odpowiednich adwokatów. </w:t>
            </w:r>
          </w:p>
          <w:p w14:paraId="40203CE0"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Osobami uprawnionymi do uzyskania pomocy prawnej są osoby fizyczne, które nie posiadają wystarczających środków na opłacenie usług prawnika. Pomoc prawna może być całkowicie sfinansowana przez państwo bądź może być wymagana częściowa partycypacja w kosztach osoby ubiegającej się o pomoc prawną. </w:t>
            </w:r>
          </w:p>
          <w:p w14:paraId="2FCC2276"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Pomoc prawna nie może być przyznana w sytuacji, gdy koszty pomocy prawnej objęte są ubezpieczeniem lub systemem ochrony prawnej.</w:t>
            </w:r>
          </w:p>
          <w:p w14:paraId="4552CE7A"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CHORWACJA</w:t>
            </w:r>
          </w:p>
          <w:p w14:paraId="14C7EE59"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Chorwacki system bezpłatnej pomocy prawnej ma przede wszystkim służyć obywatelom o niższym statusie </w:t>
            </w:r>
            <w:r w:rsidRPr="00177F9E">
              <w:rPr>
                <w:rFonts w:ascii="Times New Roman" w:eastAsia="Times New Roman" w:hAnsi="Times New Roman" w:cs="Arial"/>
                <w:kern w:val="0"/>
                <w:sz w:val="22"/>
                <w:szCs w:val="22"/>
                <w:lang w:eastAsia="pl-PL"/>
                <w14:ligatures w14:val="none"/>
              </w:rPr>
              <w:lastRenderedPageBreak/>
              <w:t xml:space="preserve">ekonomicznym, którzy nie mogą pozwolić sobie na pokrycie kosztów porady prawnej. </w:t>
            </w:r>
          </w:p>
          <w:p w14:paraId="550F7F82"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Osobami uprawnionymi do uzyskania bezpłatnej pomocy prawnej są osoby niezdolne do poniesienia kosztów związanych z usługami prawnika, bez uszczerbku dla własnego utrzymania. O pomoc prawną można wnioskować, składając w biurze regionalnym we właściwym sobie regionie odpowiedni formularz. Warunki finansowe osoby deklarującej brak możliwości pokrycia kosztów pomocy prawnej rozpatrywane są wspólnie z możliwościami finansowymi członków jego gospodarstwa domowego. </w:t>
            </w:r>
          </w:p>
          <w:p w14:paraId="4E9B7A63"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HOLANDIA </w:t>
            </w:r>
          </w:p>
          <w:p w14:paraId="3DB311D7"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W Holandii każdy obywatel ma prawo zwrócenia się o pomoc prawną i reprezentację w sądzie, jeśli nie stać go na pokrycie kosztów usług prawnika. </w:t>
            </w:r>
          </w:p>
          <w:p w14:paraId="19C031D6" w14:textId="750037F9"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Holenderski system pomocy prawnej jest systemem dwustopniowym. Pierwszym kontaktem dla osoby poszukującej pomocy jest tzw. </w:t>
            </w:r>
            <w:proofErr w:type="spellStart"/>
            <w:r w:rsidRPr="00177F9E">
              <w:rPr>
                <w:rFonts w:ascii="Times New Roman" w:eastAsia="Times New Roman" w:hAnsi="Times New Roman" w:cs="Arial"/>
                <w:kern w:val="0"/>
                <w:sz w:val="22"/>
                <w:szCs w:val="22"/>
                <w:lang w:eastAsia="pl-PL"/>
                <w14:ligatures w14:val="none"/>
              </w:rPr>
              <w:t>Legal</w:t>
            </w:r>
            <w:proofErr w:type="spellEnd"/>
            <w:r w:rsidRPr="00177F9E">
              <w:rPr>
                <w:rFonts w:ascii="Times New Roman" w:eastAsia="Times New Roman" w:hAnsi="Times New Roman" w:cs="Arial"/>
                <w:kern w:val="0"/>
                <w:sz w:val="22"/>
                <w:szCs w:val="22"/>
                <w:lang w:eastAsia="pl-PL"/>
                <w14:ligatures w14:val="none"/>
              </w:rPr>
              <w:t xml:space="preserve"> Services </w:t>
            </w:r>
            <w:proofErr w:type="spellStart"/>
            <w:r w:rsidRPr="00177F9E">
              <w:rPr>
                <w:rFonts w:ascii="Times New Roman" w:eastAsia="Times New Roman" w:hAnsi="Times New Roman" w:cs="Arial"/>
                <w:kern w:val="0"/>
                <w:sz w:val="22"/>
                <w:szCs w:val="22"/>
                <w:lang w:eastAsia="pl-PL"/>
                <w14:ligatures w14:val="none"/>
              </w:rPr>
              <w:t>Counters</w:t>
            </w:r>
            <w:proofErr w:type="spellEnd"/>
            <w:r w:rsidRPr="00177F9E">
              <w:rPr>
                <w:rFonts w:ascii="Times New Roman" w:eastAsia="Times New Roman" w:hAnsi="Times New Roman" w:cs="Arial"/>
                <w:kern w:val="0"/>
                <w:sz w:val="22"/>
                <w:szCs w:val="22"/>
                <w:lang w:eastAsia="pl-PL"/>
                <w14:ligatures w14:val="none"/>
              </w:rPr>
              <w:t>, podczas gdy w sprawach bardziej zawiłych pomocy udzielają prywatni prawnicy</w:t>
            </w:r>
            <w:r w:rsidR="006C0FB0">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i</w:t>
            </w:r>
            <w:r w:rsidR="006C0FB0">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 xml:space="preserve">mediatorzy. Klienci mogą zwracać się o pomoc również bezpośrednio do prawników, bez konieczności kontaktu z Punktami. </w:t>
            </w:r>
          </w:p>
          <w:p w14:paraId="7D449237" w14:textId="77777777" w:rsidR="00177F9E" w:rsidRPr="00177F9E" w:rsidRDefault="00177F9E" w:rsidP="002156D2">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Uzupełnieniem działalności Punktów Obsługi Prawnej jest pomoc prawna online, gdzie obywatele mogą uzyskiwać informacje prawne z takich dziedzin prawa, jak: prawo rodzinne, konsumenckie czy administracyjne.</w:t>
            </w:r>
          </w:p>
        </w:tc>
      </w:tr>
      <w:tr w:rsidR="00177F9E" w:rsidRPr="00177F9E" w14:paraId="7EED966F" w14:textId="77777777" w:rsidTr="00A67F48">
        <w:trPr>
          <w:trHeight w:val="359"/>
          <w:jc w:val="center"/>
        </w:trPr>
        <w:tc>
          <w:tcPr>
            <w:tcW w:w="10916" w:type="dxa"/>
            <w:gridSpan w:val="22"/>
            <w:shd w:val="clear" w:color="auto" w:fill="99CCFF"/>
            <w:vAlign w:val="center"/>
          </w:tcPr>
          <w:p w14:paraId="0066B2F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Cs w:val="20"/>
                <w:lang w:eastAsia="pl-PL"/>
                <w14:ligatures w14:val="none"/>
              </w:rPr>
            </w:pPr>
            <w:r w:rsidRPr="00177F9E">
              <w:rPr>
                <w:rFonts w:ascii="Times New Roman" w:eastAsia="Times New Roman" w:hAnsi="Times New Roman" w:cs="Arial"/>
                <w:b/>
                <w:kern w:val="0"/>
                <w:szCs w:val="20"/>
                <w:lang w:eastAsia="pl-PL"/>
                <w14:ligatures w14:val="none"/>
              </w:rPr>
              <w:lastRenderedPageBreak/>
              <w:t xml:space="preserve">4. </w:t>
            </w:r>
            <w:r w:rsidRPr="00177F9E">
              <w:rPr>
                <w:rFonts w:ascii="Times New Roman" w:eastAsia="Times New Roman" w:hAnsi="Times New Roman" w:cs="Arial"/>
                <w:b/>
                <w:kern w:val="0"/>
                <w:sz w:val="22"/>
                <w:szCs w:val="22"/>
                <w:lang w:eastAsia="pl-PL"/>
                <w14:ligatures w14:val="none"/>
              </w:rPr>
              <w:t>Podmioty</w:t>
            </w:r>
            <w:r w:rsidRPr="00177F9E">
              <w:rPr>
                <w:rFonts w:ascii="Times New Roman" w:eastAsia="Times New Roman" w:hAnsi="Times New Roman" w:cs="Arial"/>
                <w:b/>
                <w:kern w:val="0"/>
                <w:szCs w:val="20"/>
                <w:lang w:eastAsia="pl-PL"/>
                <w14:ligatures w14:val="none"/>
              </w:rPr>
              <w:t xml:space="preserve">, </w:t>
            </w:r>
            <w:r w:rsidRPr="00177F9E">
              <w:rPr>
                <w:rFonts w:ascii="Times New Roman" w:eastAsia="Times New Roman" w:hAnsi="Times New Roman" w:cs="Arial"/>
                <w:b/>
                <w:kern w:val="0"/>
                <w:sz w:val="22"/>
                <w:szCs w:val="22"/>
                <w:lang w:eastAsia="pl-PL"/>
                <w14:ligatures w14:val="none"/>
              </w:rPr>
              <w:t>na</w:t>
            </w:r>
            <w:r w:rsidRPr="00177F9E">
              <w:rPr>
                <w:rFonts w:ascii="Times New Roman" w:eastAsia="Times New Roman" w:hAnsi="Times New Roman" w:cs="Arial"/>
                <w:b/>
                <w:kern w:val="0"/>
                <w:szCs w:val="20"/>
                <w:lang w:eastAsia="pl-PL"/>
                <w14:ligatures w14:val="none"/>
              </w:rPr>
              <w:t xml:space="preserve"> które oddziałuje projekt</w:t>
            </w:r>
          </w:p>
        </w:tc>
      </w:tr>
      <w:tr w:rsidR="00177F9E" w:rsidRPr="00177F9E" w14:paraId="0FFA5AFB" w14:textId="77777777" w:rsidTr="00A67F48">
        <w:trPr>
          <w:trHeight w:val="142"/>
          <w:jc w:val="center"/>
        </w:trPr>
        <w:tc>
          <w:tcPr>
            <w:tcW w:w="2974" w:type="dxa"/>
            <w:gridSpan w:val="2"/>
            <w:shd w:val="clear" w:color="auto" w:fill="auto"/>
            <w:vAlign w:val="center"/>
          </w:tcPr>
          <w:p w14:paraId="7BB10A3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Grupa</w:t>
            </w:r>
          </w:p>
        </w:tc>
        <w:tc>
          <w:tcPr>
            <w:tcW w:w="2413" w:type="dxa"/>
            <w:gridSpan w:val="6"/>
            <w:shd w:val="clear" w:color="auto" w:fill="auto"/>
          </w:tcPr>
          <w:p w14:paraId="51E121B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Wielkość</w:t>
            </w:r>
          </w:p>
        </w:tc>
        <w:tc>
          <w:tcPr>
            <w:tcW w:w="1693" w:type="dxa"/>
            <w:gridSpan w:val="5"/>
            <w:shd w:val="clear" w:color="auto" w:fill="auto"/>
          </w:tcPr>
          <w:p w14:paraId="44D7459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Źródło danych</w:t>
            </w:r>
            <w:r w:rsidRPr="00177F9E" w:rsidDel="00260F33">
              <w:rPr>
                <w:rFonts w:ascii="Times New Roman" w:eastAsia="Times New Roman" w:hAnsi="Times New Roman" w:cs="Arial"/>
                <w:kern w:val="0"/>
                <w:sz w:val="22"/>
                <w:szCs w:val="22"/>
                <w:lang w:eastAsia="pl-PL"/>
                <w14:ligatures w14:val="none"/>
              </w:rPr>
              <w:t xml:space="preserve"> </w:t>
            </w:r>
          </w:p>
        </w:tc>
        <w:tc>
          <w:tcPr>
            <w:tcW w:w="3836" w:type="dxa"/>
            <w:gridSpan w:val="9"/>
            <w:shd w:val="clear" w:color="auto" w:fill="auto"/>
          </w:tcPr>
          <w:p w14:paraId="1194AE9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Oddziaływanie</w:t>
            </w:r>
          </w:p>
        </w:tc>
      </w:tr>
      <w:tr w:rsidR="00177F9E" w:rsidRPr="00177F9E" w14:paraId="7A417FB6" w14:textId="77777777" w:rsidTr="00A67F48">
        <w:trPr>
          <w:trHeight w:val="142"/>
          <w:jc w:val="center"/>
        </w:trPr>
        <w:tc>
          <w:tcPr>
            <w:tcW w:w="10916" w:type="dxa"/>
            <w:gridSpan w:val="22"/>
            <w:shd w:val="clear" w:color="auto" w:fill="auto"/>
            <w:vAlign w:val="center"/>
          </w:tcPr>
          <w:p w14:paraId="1281024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Zmiany w ustawie o nieodpłatnej pomocy prawnej, nieodpłatnym poradnictwie obywatelskim oraz edukacji prawnej</w:t>
            </w:r>
          </w:p>
        </w:tc>
      </w:tr>
      <w:tr w:rsidR="00177F9E" w:rsidRPr="00177F9E" w14:paraId="11A2AA65" w14:textId="77777777" w:rsidTr="00A67F48">
        <w:trPr>
          <w:trHeight w:val="142"/>
          <w:jc w:val="center"/>
        </w:trPr>
        <w:tc>
          <w:tcPr>
            <w:tcW w:w="2974" w:type="dxa"/>
            <w:gridSpan w:val="2"/>
            <w:shd w:val="clear" w:color="auto" w:fill="auto"/>
            <w:vAlign w:val="center"/>
          </w:tcPr>
          <w:p w14:paraId="3DCD571D" w14:textId="6B0D263D"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Beneficjenci nieodpłatnej pomocy prawnej i </w:t>
            </w:r>
            <w:r w:rsidR="00415552">
              <w:rPr>
                <w:rFonts w:ascii="Times New Roman" w:eastAsia="Times New Roman" w:hAnsi="Times New Roman" w:cs="Arial"/>
                <w:kern w:val="0"/>
                <w:sz w:val="22"/>
                <w:szCs w:val="22"/>
                <w:lang w:eastAsia="pl-PL"/>
                <w14:ligatures w14:val="none"/>
              </w:rPr>
              <w:t xml:space="preserve">nieodpłatnego </w:t>
            </w:r>
            <w:r w:rsidRPr="00177F9E">
              <w:rPr>
                <w:rFonts w:ascii="Times New Roman" w:eastAsia="Times New Roman" w:hAnsi="Times New Roman" w:cs="Arial"/>
                <w:kern w:val="0"/>
                <w:sz w:val="22"/>
                <w:szCs w:val="22"/>
                <w:lang w:eastAsia="pl-PL"/>
                <w14:ligatures w14:val="none"/>
              </w:rPr>
              <w:t>poradnictwa obywatelskiego</w:t>
            </w:r>
          </w:p>
        </w:tc>
        <w:tc>
          <w:tcPr>
            <w:tcW w:w="2413" w:type="dxa"/>
            <w:gridSpan w:val="6"/>
            <w:shd w:val="clear" w:color="auto" w:fill="auto"/>
            <w:vAlign w:val="center"/>
          </w:tcPr>
          <w:p w14:paraId="0993BFE4"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ok. 92965 udzielonych porad obywatelskich</w:t>
            </w:r>
          </w:p>
          <w:p w14:paraId="043544D4"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ok. 416200</w:t>
            </w:r>
          </w:p>
          <w:p w14:paraId="0A9E38EF"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udzielonych porad prawnych</w:t>
            </w:r>
          </w:p>
        </w:tc>
        <w:tc>
          <w:tcPr>
            <w:tcW w:w="1693" w:type="dxa"/>
            <w:gridSpan w:val="5"/>
            <w:shd w:val="clear" w:color="auto" w:fill="auto"/>
            <w:vAlign w:val="center"/>
          </w:tcPr>
          <w:p w14:paraId="72FAD9F9"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Ministerstwo Sprawiedliwości</w:t>
            </w:r>
          </w:p>
          <w:p w14:paraId="1C892BA8"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Dane za 2023 r.</w:t>
            </w:r>
          </w:p>
        </w:tc>
        <w:tc>
          <w:tcPr>
            <w:tcW w:w="3836" w:type="dxa"/>
            <w:gridSpan w:val="9"/>
            <w:shd w:val="clear" w:color="auto" w:fill="auto"/>
          </w:tcPr>
          <w:p w14:paraId="555C8BCB" w14:textId="77777777"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Możliwość wyboru formy kontaktu przy udzielaniu pomocy.</w:t>
            </w:r>
          </w:p>
          <w:p w14:paraId="5A6BDAB0" w14:textId="77777777"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Zniesienie obowiązku składania oświadczenia o niemożności poniesienia kosztów odpłatnej pomocy prawnej.</w:t>
            </w:r>
          </w:p>
          <w:p w14:paraId="76B17A03" w14:textId="5B2EA6AE"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 przypadku obowiązywania stanu zagrożenia epidemicznego, stanu epidemii albo wprowadzenia stanu nadzwyczajnego zniesienie obowiązku składania przed uzyskaniem nieodpłatnej pomocy prawnej pisemnego oświadczenia, że jest się świadomym uzyskania nieodpłatnej pomocy prawnej od osoby niebędącej adwokatem, radcą prawnym albo doradcą podatkowym.</w:t>
            </w:r>
          </w:p>
        </w:tc>
      </w:tr>
      <w:tr w:rsidR="00177F9E" w:rsidRPr="00177F9E" w14:paraId="5DACDF2C" w14:textId="77777777" w:rsidTr="00A67F48">
        <w:trPr>
          <w:trHeight w:val="142"/>
          <w:jc w:val="center"/>
        </w:trPr>
        <w:tc>
          <w:tcPr>
            <w:tcW w:w="2974" w:type="dxa"/>
            <w:gridSpan w:val="2"/>
            <w:shd w:val="clear" w:color="auto" w:fill="auto"/>
            <w:vAlign w:val="center"/>
          </w:tcPr>
          <w:p w14:paraId="286FAE59" w14:textId="4100DE38"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Staro</w:t>
            </w:r>
            <w:r w:rsidR="00615DAB">
              <w:rPr>
                <w:rFonts w:ascii="Times New Roman" w:eastAsia="Times New Roman" w:hAnsi="Times New Roman" w:cs="Arial"/>
                <w:kern w:val="0"/>
                <w:sz w:val="22"/>
                <w:szCs w:val="22"/>
                <w:lang w:eastAsia="pl-PL"/>
                <w14:ligatures w14:val="none"/>
              </w:rPr>
              <w:t>stowie</w:t>
            </w:r>
          </w:p>
        </w:tc>
        <w:tc>
          <w:tcPr>
            <w:tcW w:w="2413" w:type="dxa"/>
            <w:gridSpan w:val="6"/>
            <w:shd w:val="clear" w:color="auto" w:fill="auto"/>
            <w:vAlign w:val="center"/>
          </w:tcPr>
          <w:p w14:paraId="5F805503"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Powiaty 314</w:t>
            </w:r>
          </w:p>
          <w:p w14:paraId="594A3545"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p w14:paraId="0EEA8876"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Miasta na prawach powiatu 66</w:t>
            </w:r>
          </w:p>
        </w:tc>
        <w:tc>
          <w:tcPr>
            <w:tcW w:w="1693" w:type="dxa"/>
            <w:gridSpan w:val="5"/>
            <w:shd w:val="clear" w:color="auto" w:fill="auto"/>
            <w:vAlign w:val="center"/>
          </w:tcPr>
          <w:p w14:paraId="5681DC06"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Informacja ogólna</w:t>
            </w:r>
          </w:p>
        </w:tc>
        <w:tc>
          <w:tcPr>
            <w:tcW w:w="3836" w:type="dxa"/>
            <w:gridSpan w:val="9"/>
            <w:shd w:val="clear" w:color="auto" w:fill="auto"/>
          </w:tcPr>
          <w:p w14:paraId="4EE2C51E" w14:textId="7280F2E2"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Administrowanie danymi osobowymi zawartymi w oświadczeniu, o którym mowa w art. 11 ust. 4</w:t>
            </w:r>
            <w:r w:rsidR="00415552">
              <w:rPr>
                <w:rFonts w:ascii="Times New Roman" w:eastAsia="Times New Roman" w:hAnsi="Times New Roman" w:cs="Arial"/>
                <w:kern w:val="0"/>
                <w:sz w:val="22"/>
                <w:szCs w:val="22"/>
                <w:lang w:eastAsia="pl-PL"/>
                <w14:ligatures w14:val="none"/>
              </w:rPr>
              <w:t>,</w:t>
            </w:r>
            <w:r w:rsidRPr="00177F9E">
              <w:rPr>
                <w:rFonts w:ascii="Times New Roman" w:eastAsia="Times New Roman" w:hAnsi="Times New Roman" w:cs="Arial"/>
                <w:kern w:val="0"/>
                <w:sz w:val="22"/>
                <w:szCs w:val="22"/>
                <w:lang w:eastAsia="pl-PL"/>
                <w14:ligatures w14:val="none"/>
              </w:rPr>
              <w:t xml:space="preserve"> oraz obowiązek przechowywania powyższego oświadczenia przez trzy lata od końca roku kalendarzowego, w którym oświadczenie zostało sporządzone.</w:t>
            </w:r>
          </w:p>
          <w:p w14:paraId="6CB10229" w14:textId="7237E42B"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 przypadku obowiązywania stanu zagrożenia epidemicznego, stanu epidemii albo wprowadzenia stanu nadzwyczajnego możliwość ustalenia, że</w:t>
            </w:r>
            <w:r w:rsidR="001A5F78">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udzielanie nieodpłatnej pomocy prawnej lub świadczenie nieodpłatnego poradnictwa obywatelskiego następuje wyłącznie za pośrednictwem środków porozumiewania się na odległość</w:t>
            </w:r>
            <w:r w:rsidR="0055679E">
              <w:rPr>
                <w:rFonts w:ascii="Times New Roman" w:eastAsia="Times New Roman" w:hAnsi="Times New Roman" w:cs="Arial"/>
                <w:kern w:val="0"/>
                <w:sz w:val="22"/>
                <w:szCs w:val="22"/>
                <w:lang w:eastAsia="pl-PL"/>
                <w14:ligatures w14:val="none"/>
              </w:rPr>
              <w:t>.</w:t>
            </w:r>
          </w:p>
        </w:tc>
      </w:tr>
      <w:tr w:rsidR="00177F9E" w:rsidRPr="00177F9E" w14:paraId="1C9E2A9F" w14:textId="77777777" w:rsidTr="00A67F48">
        <w:trPr>
          <w:trHeight w:val="142"/>
          <w:jc w:val="center"/>
        </w:trPr>
        <w:tc>
          <w:tcPr>
            <w:tcW w:w="2974" w:type="dxa"/>
            <w:gridSpan w:val="2"/>
            <w:shd w:val="clear" w:color="auto" w:fill="auto"/>
            <w:vAlign w:val="center"/>
          </w:tcPr>
          <w:p w14:paraId="4BFA73A0"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Adwokaci </w:t>
            </w:r>
          </w:p>
          <w:p w14:paraId="62329664"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(wykonujący zawód)</w:t>
            </w:r>
          </w:p>
          <w:p w14:paraId="49C06F4A"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p w14:paraId="767A5879" w14:textId="66F8A33D"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 xml:space="preserve">Radcowie </w:t>
            </w:r>
            <w:r w:rsidR="00615DAB">
              <w:rPr>
                <w:rFonts w:ascii="Times New Roman" w:eastAsia="Times New Roman" w:hAnsi="Times New Roman" w:cs="Arial"/>
                <w:kern w:val="0"/>
                <w:sz w:val="22"/>
                <w:szCs w:val="22"/>
                <w:lang w:eastAsia="pl-PL"/>
                <w14:ligatures w14:val="none"/>
              </w:rPr>
              <w:t>p</w:t>
            </w:r>
            <w:r w:rsidRPr="00177F9E">
              <w:rPr>
                <w:rFonts w:ascii="Times New Roman" w:eastAsia="Times New Roman" w:hAnsi="Times New Roman" w:cs="Arial"/>
                <w:kern w:val="0"/>
                <w:sz w:val="22"/>
                <w:szCs w:val="22"/>
                <w:lang w:eastAsia="pl-PL"/>
                <w14:ligatures w14:val="none"/>
              </w:rPr>
              <w:t xml:space="preserve">rawni </w:t>
            </w:r>
          </w:p>
          <w:p w14:paraId="4EA11E0E"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(wykonujący zawód)</w:t>
            </w:r>
          </w:p>
        </w:tc>
        <w:tc>
          <w:tcPr>
            <w:tcW w:w="2413" w:type="dxa"/>
            <w:gridSpan w:val="6"/>
            <w:shd w:val="clear" w:color="auto" w:fill="auto"/>
            <w:vAlign w:val="center"/>
          </w:tcPr>
          <w:p w14:paraId="160AE1EB"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22,2 tys.</w:t>
            </w:r>
          </w:p>
          <w:p w14:paraId="3A89BE40"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p w14:paraId="51547AD6"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41,4 tys.</w:t>
            </w:r>
          </w:p>
          <w:p w14:paraId="30F93890"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(stan na 26.01.2024 r.)</w:t>
            </w:r>
          </w:p>
        </w:tc>
        <w:tc>
          <w:tcPr>
            <w:tcW w:w="1693" w:type="dxa"/>
            <w:gridSpan w:val="5"/>
            <w:shd w:val="clear" w:color="auto" w:fill="auto"/>
            <w:vAlign w:val="center"/>
          </w:tcPr>
          <w:p w14:paraId="63FBB777"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https://rejestradwokatow.pl/adwokat</w:t>
            </w:r>
          </w:p>
          <w:p w14:paraId="4ABA3130" w14:textId="77777777" w:rsidR="00177F9E" w:rsidRPr="00177F9E" w:rsidRDefault="00177F9E" w:rsidP="002156D2">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https://rejestrradcow.pl/Home/Index</w:t>
            </w:r>
          </w:p>
        </w:tc>
        <w:tc>
          <w:tcPr>
            <w:tcW w:w="3836" w:type="dxa"/>
            <w:gridSpan w:val="9"/>
            <w:shd w:val="clear" w:color="auto" w:fill="auto"/>
          </w:tcPr>
          <w:p w14:paraId="63FDD9EC" w14:textId="12371C87" w:rsidR="00177F9E" w:rsidRPr="00177F9E" w:rsidRDefault="00177F9E" w:rsidP="001A5F78">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 xml:space="preserve">Zniesienie obowiązku przekazywania do dziesiątego dnia następnego miesiąca kalendarzowego oświadczeń </w:t>
            </w:r>
            <w:r w:rsidRPr="00177F9E">
              <w:rPr>
                <w:rFonts w:ascii="Times New Roman" w:eastAsia="Times New Roman" w:hAnsi="Times New Roman" w:cs="Arial"/>
                <w:kern w:val="0"/>
                <w:sz w:val="22"/>
                <w:szCs w:val="22"/>
                <w:lang w:eastAsia="pl-PL"/>
                <w14:ligatures w14:val="none"/>
              </w:rPr>
              <w:lastRenderedPageBreak/>
              <w:t>o</w:t>
            </w:r>
            <w:r w:rsidR="001A5F78">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niemożności poniesienia kosztów odpłatnej pomocy prawnej.</w:t>
            </w:r>
          </w:p>
        </w:tc>
      </w:tr>
      <w:tr w:rsidR="00177F9E" w:rsidRPr="00177F9E" w14:paraId="7A2DD172" w14:textId="77777777" w:rsidTr="00A67F48">
        <w:trPr>
          <w:trHeight w:val="302"/>
          <w:jc w:val="center"/>
        </w:trPr>
        <w:tc>
          <w:tcPr>
            <w:tcW w:w="10916" w:type="dxa"/>
            <w:gridSpan w:val="22"/>
            <w:shd w:val="clear" w:color="auto" w:fill="99CCFF"/>
            <w:vAlign w:val="center"/>
          </w:tcPr>
          <w:p w14:paraId="7AD5E13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Cs w:val="20"/>
                <w:lang w:eastAsia="pl-PL"/>
                <w14:ligatures w14:val="none"/>
              </w:rPr>
            </w:pPr>
            <w:r w:rsidRPr="00177F9E">
              <w:rPr>
                <w:rFonts w:ascii="Times New Roman" w:eastAsia="Times New Roman" w:hAnsi="Times New Roman" w:cs="Arial"/>
                <w:b/>
                <w:kern w:val="0"/>
                <w:szCs w:val="20"/>
                <w:lang w:eastAsia="pl-PL"/>
                <w14:ligatures w14:val="none"/>
              </w:rPr>
              <w:lastRenderedPageBreak/>
              <w:t xml:space="preserve">5. </w:t>
            </w:r>
            <w:r w:rsidRPr="00177F9E">
              <w:rPr>
                <w:rFonts w:ascii="Times New Roman" w:eastAsia="Times New Roman" w:hAnsi="Times New Roman" w:cs="Arial"/>
                <w:b/>
                <w:kern w:val="0"/>
                <w:sz w:val="22"/>
                <w:szCs w:val="22"/>
                <w:lang w:eastAsia="pl-PL"/>
                <w14:ligatures w14:val="none"/>
              </w:rPr>
              <w:t>Informacje</w:t>
            </w:r>
            <w:r w:rsidRPr="00177F9E">
              <w:rPr>
                <w:rFonts w:ascii="Times New Roman" w:eastAsia="Times New Roman" w:hAnsi="Times New Roman" w:cs="Arial"/>
                <w:b/>
                <w:kern w:val="0"/>
                <w:szCs w:val="20"/>
                <w:lang w:eastAsia="pl-PL"/>
                <w14:ligatures w14:val="none"/>
              </w:rPr>
              <w:t xml:space="preserve"> na temat zakresu, czasu trwania i </w:t>
            </w:r>
            <w:r w:rsidRPr="00177F9E">
              <w:rPr>
                <w:rFonts w:ascii="Times New Roman" w:eastAsia="Times New Roman" w:hAnsi="Times New Roman" w:cs="Arial"/>
                <w:b/>
                <w:kern w:val="0"/>
                <w:sz w:val="22"/>
                <w:szCs w:val="22"/>
                <w:lang w:eastAsia="pl-PL"/>
                <w14:ligatures w14:val="none"/>
              </w:rPr>
              <w:t>podsumowanie</w:t>
            </w:r>
            <w:r w:rsidRPr="00177F9E">
              <w:rPr>
                <w:rFonts w:ascii="Times New Roman" w:eastAsia="Times New Roman" w:hAnsi="Times New Roman" w:cs="Arial"/>
                <w:b/>
                <w:kern w:val="0"/>
                <w:szCs w:val="20"/>
                <w:lang w:eastAsia="pl-PL"/>
                <w14:ligatures w14:val="none"/>
              </w:rPr>
              <w:t xml:space="preserve"> wyników konsultacji</w:t>
            </w:r>
          </w:p>
        </w:tc>
      </w:tr>
      <w:tr w:rsidR="00177F9E" w:rsidRPr="00177F9E" w14:paraId="22ED203A" w14:textId="77777777" w:rsidTr="00A67F48">
        <w:trPr>
          <w:trHeight w:val="342"/>
          <w:jc w:val="center"/>
        </w:trPr>
        <w:tc>
          <w:tcPr>
            <w:tcW w:w="10916" w:type="dxa"/>
            <w:gridSpan w:val="22"/>
            <w:shd w:val="clear" w:color="auto" w:fill="FFFFFF"/>
          </w:tcPr>
          <w:p w14:paraId="0A9B667A" w14:textId="58D55B93" w:rsidR="00615DAB" w:rsidRDefault="00177F9E" w:rsidP="00C772D4">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Projekt zost</w:t>
            </w:r>
            <w:r w:rsidR="00615DAB">
              <w:rPr>
                <w:rFonts w:ascii="Times New Roman" w:eastAsia="Times New Roman" w:hAnsi="Times New Roman" w:cs="Times New Roman"/>
                <w:kern w:val="0"/>
                <w:sz w:val="22"/>
                <w:szCs w:val="22"/>
                <w:lang w:eastAsia="pl-PL"/>
                <w14:ligatures w14:val="none"/>
              </w:rPr>
              <w:t>ał</w:t>
            </w:r>
            <w:r w:rsidRPr="00177F9E">
              <w:rPr>
                <w:rFonts w:ascii="Times New Roman" w:eastAsia="Times New Roman" w:hAnsi="Times New Roman" w:cs="Times New Roman"/>
                <w:kern w:val="0"/>
                <w:sz w:val="22"/>
                <w:szCs w:val="22"/>
                <w:lang w:eastAsia="pl-PL"/>
                <w14:ligatures w14:val="none"/>
              </w:rPr>
              <w:t xml:space="preserve"> udostępniony w Biuletynie Informacji Publicznej </w:t>
            </w:r>
            <w:r w:rsidR="00615DAB" w:rsidRPr="00615DAB">
              <w:rPr>
                <w:rFonts w:ascii="Times New Roman" w:eastAsia="Times New Roman" w:hAnsi="Times New Roman" w:cs="Times New Roman"/>
                <w:kern w:val="0"/>
                <w:sz w:val="22"/>
                <w:szCs w:val="22"/>
                <w:lang w:eastAsia="pl-PL"/>
                <w14:ligatures w14:val="none"/>
              </w:rPr>
              <w:t>na stronie podmiotowej Rządowego Centrum Legislacji, w serwisie Rządowy Proces Legislacyjny</w:t>
            </w:r>
            <w:r w:rsidR="00615DAB">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zgodnie z § 52 ust. 1 uchwały nr 190 Rady Ministrów z dnia 29 października 2013 r. – Regulamin pracy Rady Ministrów (M. P. z 2024 r. poz. 806) oraz stosownie do wymogów art. 5 ustawy z dnia 7</w:t>
            </w:r>
            <w:r w:rsidR="00C772D4">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lipca 2005 r. o działalności lobbingowej w procesie stanowienia prawa (Dz. U. z 2017 r. poz. 248</w:t>
            </w:r>
            <w:r w:rsidR="00B0157E">
              <w:rPr>
                <w:rFonts w:ascii="Times New Roman" w:eastAsia="Times New Roman" w:hAnsi="Times New Roman" w:cs="Times New Roman"/>
                <w:kern w:val="0"/>
                <w:sz w:val="22"/>
                <w:szCs w:val="22"/>
                <w:lang w:eastAsia="pl-PL"/>
                <w14:ligatures w14:val="none"/>
              </w:rPr>
              <w:t xml:space="preserve"> oraz z 2024 r. poz. 1535</w:t>
            </w:r>
            <w:r w:rsidRPr="00177F9E">
              <w:rPr>
                <w:rFonts w:ascii="Times New Roman" w:eastAsia="Times New Roman" w:hAnsi="Times New Roman" w:cs="Times New Roman"/>
                <w:kern w:val="0"/>
                <w:sz w:val="22"/>
                <w:szCs w:val="22"/>
                <w:lang w:eastAsia="pl-PL"/>
                <w14:ligatures w14:val="none"/>
              </w:rPr>
              <w:t xml:space="preserve">). </w:t>
            </w:r>
          </w:p>
          <w:p w14:paraId="4AC8F3EE" w14:textId="22598CF2" w:rsidR="00177F9E" w:rsidRPr="00177F9E" w:rsidRDefault="00177F9E" w:rsidP="00C772D4">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Projekt ustawy został skierowany do konsultacji publicznych i opiniowania (pismem z dnia 7 października 2024 r.), w</w:t>
            </w:r>
            <w:r w:rsidR="003377ED">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ramach których projekt otrzymali:</w:t>
            </w:r>
          </w:p>
          <w:p w14:paraId="16DA833A" w14:textId="77777777" w:rsidR="007333C7" w:rsidRDefault="007333C7"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p>
          <w:p w14:paraId="1A42D27F" w14:textId="20E1F0AB" w:rsidR="00177F9E" w:rsidRPr="00177F9E" w:rsidRDefault="00615DAB"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t>–</w:t>
            </w:r>
            <w:r w:rsidR="00177F9E" w:rsidRPr="00177F9E">
              <w:rPr>
                <w:rFonts w:ascii="Times New Roman" w:eastAsia="Times New Roman" w:hAnsi="Times New Roman" w:cs="Times New Roman"/>
                <w:kern w:val="0"/>
                <w:sz w:val="22"/>
                <w:szCs w:val="22"/>
                <w:lang w:eastAsia="pl-PL"/>
                <w14:ligatures w14:val="none"/>
              </w:rPr>
              <w:t xml:space="preserve"> w ramach konsultacji publicznych:</w:t>
            </w:r>
          </w:p>
          <w:p w14:paraId="10920E3C" w14:textId="44386A3A"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Związek Biur Porad Obywatelskich</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4E38BAD5" w14:textId="43500C03"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proofErr w:type="spellStart"/>
            <w:r w:rsidRPr="00673749">
              <w:rPr>
                <w:rFonts w:ascii="Times New Roman" w:eastAsia="Times New Roman" w:hAnsi="Times New Roman" w:cs="Times New Roman"/>
                <w:kern w:val="0"/>
                <w:sz w:val="22"/>
                <w:szCs w:val="22"/>
                <w:lang w:eastAsia="pl-PL"/>
                <w14:ligatures w14:val="none"/>
              </w:rPr>
              <w:t>Sursum</w:t>
            </w:r>
            <w:proofErr w:type="spellEnd"/>
            <w:r w:rsidRPr="00673749">
              <w:rPr>
                <w:rFonts w:ascii="Times New Roman" w:eastAsia="Times New Roman" w:hAnsi="Times New Roman" w:cs="Times New Roman"/>
                <w:kern w:val="0"/>
                <w:sz w:val="22"/>
                <w:szCs w:val="22"/>
                <w:lang w:eastAsia="pl-PL"/>
                <w14:ligatures w14:val="none"/>
              </w:rPr>
              <w:t xml:space="preserve"> </w:t>
            </w:r>
            <w:proofErr w:type="spellStart"/>
            <w:r w:rsidRPr="00673749">
              <w:rPr>
                <w:rFonts w:ascii="Times New Roman" w:eastAsia="Times New Roman" w:hAnsi="Times New Roman" w:cs="Times New Roman"/>
                <w:kern w:val="0"/>
                <w:sz w:val="22"/>
                <w:szCs w:val="22"/>
                <w:lang w:eastAsia="pl-PL"/>
                <w14:ligatures w14:val="none"/>
              </w:rPr>
              <w:t>corda</w:t>
            </w:r>
            <w:proofErr w:type="spellEnd"/>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71646F91" w14:textId="70E999DE"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Zaborskie Towarzystwo Naukowe</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351906FC" w14:textId="4CC0BE20"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 xml:space="preserve">Fundacja </w:t>
            </w:r>
            <w:proofErr w:type="spellStart"/>
            <w:r w:rsidRPr="00673749">
              <w:rPr>
                <w:rFonts w:ascii="Times New Roman" w:eastAsia="Times New Roman" w:hAnsi="Times New Roman" w:cs="Times New Roman"/>
                <w:kern w:val="0"/>
                <w:sz w:val="22"/>
                <w:szCs w:val="22"/>
                <w:lang w:eastAsia="pl-PL"/>
                <w14:ligatures w14:val="none"/>
              </w:rPr>
              <w:t>Togatus</w:t>
            </w:r>
            <w:proofErr w:type="spellEnd"/>
            <w:r w:rsidRPr="00673749">
              <w:rPr>
                <w:rFonts w:ascii="Times New Roman" w:eastAsia="Times New Roman" w:hAnsi="Times New Roman" w:cs="Times New Roman"/>
                <w:kern w:val="0"/>
                <w:sz w:val="22"/>
                <w:szCs w:val="22"/>
                <w:lang w:eastAsia="pl-PL"/>
                <w14:ligatures w14:val="none"/>
              </w:rPr>
              <w:t xml:space="preserve"> Pro Bono</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1C2DCE63" w14:textId="6881E959"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Inicjatyw Społecznych „Wsparcie, Informacja, Rozwój”</w:t>
            </w:r>
            <w:r w:rsidR="00673749">
              <w:rPr>
                <w:rFonts w:ascii="Times New Roman" w:eastAsia="Times New Roman" w:hAnsi="Times New Roman" w:cs="Times New Roman"/>
                <w:kern w:val="0"/>
                <w:sz w:val="22"/>
                <w:szCs w:val="22"/>
                <w:lang w:eastAsia="pl-PL"/>
                <w14:ligatures w14:val="none"/>
              </w:rPr>
              <w:t>;</w:t>
            </w:r>
          </w:p>
          <w:p w14:paraId="24536177" w14:textId="2659B809"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Młodzi Ludziom</w:t>
            </w:r>
            <w:r w:rsidR="00673749">
              <w:rPr>
                <w:rFonts w:ascii="Times New Roman" w:eastAsia="Times New Roman" w:hAnsi="Times New Roman" w:cs="Times New Roman"/>
                <w:kern w:val="0"/>
                <w:sz w:val="22"/>
                <w:szCs w:val="22"/>
                <w:lang w:eastAsia="pl-PL"/>
                <w14:ligatures w14:val="none"/>
              </w:rPr>
              <w:t>;</w:t>
            </w:r>
          </w:p>
          <w:p w14:paraId="2DCEE03B" w14:textId="5AF5F8AD"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na rzecz Poradnictwa Obywatelskiego Dogma</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747D14A4" w14:textId="2951E2A9"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 xml:space="preserve">Fundacja Rozwoju Świadomości Obywatelskiej </w:t>
            </w:r>
            <w:proofErr w:type="spellStart"/>
            <w:r w:rsidRPr="00673749">
              <w:rPr>
                <w:rFonts w:ascii="Times New Roman" w:eastAsia="Times New Roman" w:hAnsi="Times New Roman" w:cs="Times New Roman"/>
                <w:kern w:val="0"/>
                <w:sz w:val="22"/>
                <w:szCs w:val="22"/>
                <w:lang w:eastAsia="pl-PL"/>
                <w14:ligatures w14:val="none"/>
              </w:rPr>
              <w:t>Experto</w:t>
            </w:r>
            <w:proofErr w:type="spellEnd"/>
            <w:r w:rsidRPr="00673749">
              <w:rPr>
                <w:rFonts w:ascii="Times New Roman" w:eastAsia="Times New Roman" w:hAnsi="Times New Roman" w:cs="Times New Roman"/>
                <w:kern w:val="0"/>
                <w:sz w:val="22"/>
                <w:szCs w:val="22"/>
                <w:lang w:eastAsia="pl-PL"/>
                <w14:ligatures w14:val="none"/>
              </w:rPr>
              <w:t xml:space="preserve"> Pro Bono</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7D8DD647" w14:textId="44D7E466"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Rozwoju Przedsiębiorczości „</w:t>
            </w:r>
            <w:proofErr w:type="spellStart"/>
            <w:r w:rsidRPr="00673749">
              <w:rPr>
                <w:rFonts w:ascii="Times New Roman" w:eastAsia="Times New Roman" w:hAnsi="Times New Roman" w:cs="Times New Roman"/>
                <w:kern w:val="0"/>
                <w:sz w:val="22"/>
                <w:szCs w:val="22"/>
                <w:lang w:eastAsia="pl-PL"/>
                <w14:ligatures w14:val="none"/>
              </w:rPr>
              <w:t>Consilium</w:t>
            </w:r>
            <w:proofErr w:type="spellEnd"/>
            <w:r w:rsidRPr="00673749">
              <w:rPr>
                <w:rFonts w:ascii="Times New Roman" w:eastAsia="Times New Roman" w:hAnsi="Times New Roman" w:cs="Times New Roman"/>
                <w:kern w:val="0"/>
                <w:sz w:val="22"/>
                <w:szCs w:val="22"/>
                <w:lang w:eastAsia="pl-PL"/>
                <w14:ligatures w14:val="none"/>
              </w:rPr>
              <w:t>”</w:t>
            </w:r>
            <w:r w:rsidR="00673749">
              <w:rPr>
                <w:rFonts w:ascii="Times New Roman" w:eastAsia="Times New Roman" w:hAnsi="Times New Roman" w:cs="Times New Roman"/>
                <w:kern w:val="0"/>
                <w:sz w:val="22"/>
                <w:szCs w:val="22"/>
                <w:lang w:eastAsia="pl-PL"/>
                <w14:ligatures w14:val="none"/>
              </w:rPr>
              <w:t>;</w:t>
            </w:r>
          </w:p>
          <w:p w14:paraId="456267FD" w14:textId="2961E5D0"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 xml:space="preserve">Stowarzyszenie </w:t>
            </w:r>
            <w:proofErr w:type="spellStart"/>
            <w:r w:rsidRPr="00673749">
              <w:rPr>
                <w:rFonts w:ascii="Times New Roman" w:eastAsia="Times New Roman" w:hAnsi="Times New Roman" w:cs="Times New Roman"/>
                <w:kern w:val="0"/>
                <w:sz w:val="22"/>
                <w:szCs w:val="22"/>
                <w:lang w:eastAsia="pl-PL"/>
                <w14:ligatures w14:val="none"/>
              </w:rPr>
              <w:t>Ovum</w:t>
            </w:r>
            <w:proofErr w:type="spellEnd"/>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6B3C3B09" w14:textId="2BBA1E5A"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„Inicjatywa Kobiet Aktywnych”</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00B1B837" w14:textId="1E2B289B"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Wspierania Aktywności Obywatelskiej „</w:t>
            </w:r>
            <w:proofErr w:type="spellStart"/>
            <w:r w:rsidRPr="00673749">
              <w:rPr>
                <w:rFonts w:ascii="Times New Roman" w:eastAsia="Times New Roman" w:hAnsi="Times New Roman" w:cs="Times New Roman"/>
                <w:kern w:val="0"/>
                <w:sz w:val="22"/>
                <w:szCs w:val="22"/>
                <w:lang w:eastAsia="pl-PL"/>
                <w14:ligatures w14:val="none"/>
              </w:rPr>
              <w:t>Civis</w:t>
            </w:r>
            <w:proofErr w:type="spellEnd"/>
            <w:r w:rsidRPr="00673749">
              <w:rPr>
                <w:rFonts w:ascii="Times New Roman" w:eastAsia="Times New Roman" w:hAnsi="Times New Roman" w:cs="Times New Roman"/>
                <w:kern w:val="0"/>
                <w:sz w:val="22"/>
                <w:szCs w:val="22"/>
                <w:lang w:eastAsia="pl-PL"/>
                <w14:ligatures w14:val="none"/>
              </w:rPr>
              <w:t xml:space="preserve"> Sum”</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3CF4D7D8" w14:textId="0B8FD963"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 xml:space="preserve">„PASIEKA” </w:t>
            </w:r>
            <w:r w:rsidR="000F4267" w:rsidRPr="000F4267">
              <w:rPr>
                <w:rFonts w:ascii="Times New Roman" w:eastAsia="Times New Roman" w:hAnsi="Times New Roman" w:cs="Times New Roman"/>
                <w:kern w:val="0"/>
                <w:sz w:val="22"/>
                <w:szCs w:val="22"/>
                <w:lang w:eastAsia="pl-PL"/>
                <w14:ligatures w14:val="none"/>
              </w:rPr>
              <w:t xml:space="preserve">– </w:t>
            </w:r>
            <w:r w:rsidRPr="00673749">
              <w:rPr>
                <w:rFonts w:ascii="Times New Roman" w:eastAsia="Times New Roman" w:hAnsi="Times New Roman" w:cs="Times New Roman"/>
                <w:kern w:val="0"/>
                <w:sz w:val="22"/>
                <w:szCs w:val="22"/>
                <w:lang w:eastAsia="pl-PL"/>
                <w14:ligatures w14:val="none"/>
              </w:rPr>
              <w:t xml:space="preserve"> Fundacja Rozwoju i Wsparcia</w:t>
            </w:r>
            <w:r w:rsidR="00673749">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18094659" w14:textId="2DFA809E"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 xml:space="preserve">Fundacja </w:t>
            </w:r>
            <w:proofErr w:type="spellStart"/>
            <w:r w:rsidRPr="00673749">
              <w:rPr>
                <w:rFonts w:ascii="Times New Roman" w:eastAsia="Times New Roman" w:hAnsi="Times New Roman" w:cs="Times New Roman"/>
                <w:kern w:val="0"/>
                <w:sz w:val="22"/>
                <w:szCs w:val="22"/>
                <w:lang w:eastAsia="pl-PL"/>
                <w14:ligatures w14:val="none"/>
              </w:rPr>
              <w:t>Honeste</w:t>
            </w:r>
            <w:proofErr w:type="spellEnd"/>
            <w:r w:rsidRPr="00673749">
              <w:rPr>
                <w:rFonts w:ascii="Times New Roman" w:eastAsia="Times New Roman" w:hAnsi="Times New Roman" w:cs="Times New Roman"/>
                <w:kern w:val="0"/>
                <w:sz w:val="22"/>
                <w:szCs w:val="22"/>
                <w:lang w:eastAsia="pl-PL"/>
                <w14:ligatures w14:val="none"/>
              </w:rPr>
              <w:t xml:space="preserve"> </w:t>
            </w:r>
            <w:proofErr w:type="spellStart"/>
            <w:r w:rsidRPr="00673749">
              <w:rPr>
                <w:rFonts w:ascii="Times New Roman" w:eastAsia="Times New Roman" w:hAnsi="Times New Roman" w:cs="Times New Roman"/>
                <w:kern w:val="0"/>
                <w:sz w:val="22"/>
                <w:szCs w:val="22"/>
                <w:lang w:eastAsia="pl-PL"/>
                <w14:ligatures w14:val="none"/>
              </w:rPr>
              <w:t>Vivere</w:t>
            </w:r>
            <w:proofErr w:type="spellEnd"/>
            <w:r w:rsidR="00673749">
              <w:rPr>
                <w:rFonts w:ascii="Times New Roman" w:eastAsia="Times New Roman" w:hAnsi="Times New Roman" w:cs="Times New Roman"/>
                <w:kern w:val="0"/>
                <w:sz w:val="22"/>
                <w:szCs w:val="22"/>
                <w:lang w:eastAsia="pl-PL"/>
                <w14:ligatures w14:val="none"/>
              </w:rPr>
              <w:t>;</w:t>
            </w:r>
          </w:p>
          <w:p w14:paraId="36DC9136" w14:textId="3A9A8FB4"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Instytut Aktywizacji Regionów</w:t>
            </w:r>
            <w:r w:rsidR="000F4267">
              <w:rPr>
                <w:rFonts w:ascii="Times New Roman" w:eastAsia="Times New Roman" w:hAnsi="Times New Roman" w:cs="Times New Roman"/>
                <w:kern w:val="0"/>
                <w:sz w:val="22"/>
                <w:szCs w:val="22"/>
                <w:lang w:eastAsia="pl-PL"/>
                <w14:ligatures w14:val="none"/>
              </w:rPr>
              <w:t>;</w:t>
            </w:r>
          </w:p>
          <w:p w14:paraId="46BB8608" w14:textId="5687C122"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Bydgoskie Stowarzyszenie Pomocy Prawnej</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2311AA57" w14:textId="31091FE7"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Polska Fundacja Ośrodków Wspomagania Rozwoju Gospodarczego „</w:t>
            </w:r>
            <w:proofErr w:type="spellStart"/>
            <w:r w:rsidRPr="00673749">
              <w:rPr>
                <w:rFonts w:ascii="Times New Roman" w:eastAsia="Times New Roman" w:hAnsi="Times New Roman" w:cs="Times New Roman"/>
                <w:kern w:val="0"/>
                <w:sz w:val="22"/>
                <w:szCs w:val="22"/>
                <w:lang w:eastAsia="pl-PL"/>
                <w14:ligatures w14:val="none"/>
              </w:rPr>
              <w:t>Oic</w:t>
            </w:r>
            <w:proofErr w:type="spellEnd"/>
            <w:r w:rsidRPr="00673749">
              <w:rPr>
                <w:rFonts w:ascii="Times New Roman" w:eastAsia="Times New Roman" w:hAnsi="Times New Roman" w:cs="Times New Roman"/>
                <w:kern w:val="0"/>
                <w:sz w:val="22"/>
                <w:szCs w:val="22"/>
                <w:lang w:eastAsia="pl-PL"/>
                <w14:ligatures w14:val="none"/>
              </w:rPr>
              <w:t xml:space="preserve"> Poland”</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77C07F61" w14:textId="46199FA2"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„Taurus”</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2EE399C9" w14:textId="600DE4F6"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w służbie wsi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6C8F7D12" w14:textId="1015ACC7"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proofErr w:type="spellStart"/>
            <w:r w:rsidRPr="00673749">
              <w:rPr>
                <w:rFonts w:ascii="Times New Roman" w:eastAsia="Times New Roman" w:hAnsi="Times New Roman" w:cs="Times New Roman"/>
                <w:kern w:val="0"/>
                <w:sz w:val="22"/>
                <w:szCs w:val="22"/>
                <w:lang w:eastAsia="pl-PL"/>
                <w14:ligatures w14:val="none"/>
              </w:rPr>
              <w:t>European</w:t>
            </w:r>
            <w:proofErr w:type="spellEnd"/>
            <w:r w:rsidRPr="00673749">
              <w:rPr>
                <w:rFonts w:ascii="Times New Roman" w:eastAsia="Times New Roman" w:hAnsi="Times New Roman" w:cs="Times New Roman"/>
                <w:kern w:val="0"/>
                <w:sz w:val="22"/>
                <w:szCs w:val="22"/>
                <w:lang w:eastAsia="pl-PL"/>
                <w14:ligatures w14:val="none"/>
              </w:rPr>
              <w:t xml:space="preserve"> </w:t>
            </w:r>
            <w:proofErr w:type="spellStart"/>
            <w:r w:rsidRPr="00673749">
              <w:rPr>
                <w:rFonts w:ascii="Times New Roman" w:eastAsia="Times New Roman" w:hAnsi="Times New Roman" w:cs="Times New Roman"/>
                <w:kern w:val="0"/>
                <w:sz w:val="22"/>
                <w:szCs w:val="22"/>
                <w:lang w:eastAsia="pl-PL"/>
                <w14:ligatures w14:val="none"/>
              </w:rPr>
              <w:t>Concept</w:t>
            </w:r>
            <w:proofErr w:type="spellEnd"/>
            <w:r w:rsidRPr="00673749">
              <w:rPr>
                <w:rFonts w:ascii="Times New Roman" w:eastAsia="Times New Roman" w:hAnsi="Times New Roman" w:cs="Times New Roman"/>
                <w:kern w:val="0"/>
                <w:sz w:val="22"/>
                <w:szCs w:val="22"/>
                <w:lang w:eastAsia="pl-PL"/>
                <w14:ligatures w14:val="none"/>
              </w:rPr>
              <w:t xml:space="preserve"> Consulting Foundation</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57BE1F90" w14:textId="2A9207FD"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w:t>
            </w:r>
            <w:proofErr w:type="spellStart"/>
            <w:r w:rsidRPr="00673749">
              <w:rPr>
                <w:rFonts w:ascii="Times New Roman" w:eastAsia="Times New Roman" w:hAnsi="Times New Roman" w:cs="Times New Roman"/>
                <w:kern w:val="0"/>
                <w:sz w:val="22"/>
                <w:szCs w:val="22"/>
                <w:lang w:eastAsia="pl-PL"/>
                <w14:ligatures w14:val="none"/>
              </w:rPr>
              <w:t>Sancta</w:t>
            </w:r>
            <w:proofErr w:type="spellEnd"/>
            <w:r w:rsidRPr="00673749">
              <w:rPr>
                <w:rFonts w:ascii="Times New Roman" w:eastAsia="Times New Roman" w:hAnsi="Times New Roman" w:cs="Times New Roman"/>
                <w:kern w:val="0"/>
                <w:sz w:val="22"/>
                <w:szCs w:val="22"/>
                <w:lang w:eastAsia="pl-PL"/>
                <w14:ligatures w14:val="none"/>
              </w:rPr>
              <w:t xml:space="preserve"> Familia” we Wrocławiu</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33CDB340" w14:textId="3F494981"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Fundacja Studencka „Młodzi-Młodym”</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75627337" w14:textId="31E4D591"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Centrum Informacji Społecznej – Cis</w:t>
            </w:r>
            <w:r w:rsidR="000F4267">
              <w:rPr>
                <w:rFonts w:ascii="Times New Roman" w:eastAsia="Times New Roman" w:hAnsi="Times New Roman" w:cs="Times New Roman"/>
                <w:kern w:val="0"/>
                <w:sz w:val="22"/>
                <w:szCs w:val="22"/>
                <w:lang w:eastAsia="pl-PL"/>
                <w14:ligatures w14:val="none"/>
              </w:rPr>
              <w:t>;</w:t>
            </w:r>
          </w:p>
          <w:p w14:paraId="5CEB046F" w14:textId="32E1DB11"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Stowarzyszenie OPPEN Obywatel Prawo Pomoc Edukacja Nowatorstwo</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3F15EF1D" w14:textId="1D9DE848"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Centrum Arbitrażu i Mediacji przy Konfederacji Lewiatan</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47830EBD" w14:textId="4DE4C21C"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Wojewódzkie Centrum Arbitrażu i Mediacji w Bydgoszczy</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09D95562" w14:textId="434CE235"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Lubuskie Centrum Arbitrażu i Mediacji</w:t>
            </w:r>
            <w:r w:rsidR="000F4267">
              <w:rPr>
                <w:rFonts w:ascii="Times New Roman" w:eastAsia="Times New Roman" w:hAnsi="Times New Roman" w:cs="Times New Roman"/>
                <w:kern w:val="0"/>
                <w:sz w:val="22"/>
                <w:szCs w:val="22"/>
                <w:lang w:eastAsia="pl-PL"/>
                <w14:ligatures w14:val="none"/>
              </w:rPr>
              <w:t>;</w:t>
            </w:r>
          </w:p>
          <w:p w14:paraId="71AD5994" w14:textId="778EEE3B"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Wojewódzkie Centrum Arbitrażu i Mediacji w Łodzi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22527FD3" w14:textId="269F9B61"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Małopolskie Centrum Arbitrażu i Mediacji</w:t>
            </w:r>
            <w:r w:rsidR="000F4267">
              <w:rPr>
                <w:rFonts w:ascii="Times New Roman" w:eastAsia="Times New Roman" w:hAnsi="Times New Roman" w:cs="Times New Roman"/>
                <w:kern w:val="0"/>
                <w:sz w:val="22"/>
                <w:szCs w:val="22"/>
                <w:lang w:eastAsia="pl-PL"/>
                <w14:ligatures w14:val="none"/>
              </w:rPr>
              <w:t>;</w:t>
            </w:r>
          </w:p>
          <w:p w14:paraId="51FE7B45" w14:textId="5418ADCE"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Opolskie Centrum Arbitrażu i Mediacji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2ACBFA0F" w14:textId="6AD3C8FE"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Podlaskie Centrum Arbitrażu i Mediacji</w:t>
            </w:r>
            <w:r w:rsidR="000F4267">
              <w:rPr>
                <w:rFonts w:ascii="Times New Roman" w:eastAsia="Times New Roman" w:hAnsi="Times New Roman" w:cs="Times New Roman"/>
                <w:kern w:val="0"/>
                <w:sz w:val="22"/>
                <w:szCs w:val="22"/>
                <w:lang w:eastAsia="pl-PL"/>
                <w14:ligatures w14:val="none"/>
              </w:rPr>
              <w:t>;</w:t>
            </w:r>
          </w:p>
          <w:p w14:paraId="6E44CBD1" w14:textId="59D29BDA"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Pomorskie Centrum Arbitrażu i Mediacji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604BFDDF" w14:textId="7FB1E377"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Śląskie Centrum Arbitrażu i Mediacji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5E57320C" w14:textId="6670544C"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Świętokrzyskie Centrum Arbitrażu i Mediacji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5227CEA0" w14:textId="7E5EE26A"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Wojewódzkie Centrum Arbitrażu i Mediacji w Olsztynie</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5C2EA8EA" w14:textId="1920F18C" w:rsidR="00177F9E" w:rsidRPr="00673749"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Wielkopolskie Centrum Arbitrażu i Mediacji</w:t>
            </w:r>
            <w:r w:rsidR="000F4267">
              <w:rPr>
                <w:rFonts w:ascii="Times New Roman" w:eastAsia="Times New Roman" w:hAnsi="Times New Roman" w:cs="Times New Roman"/>
                <w:kern w:val="0"/>
                <w:sz w:val="22"/>
                <w:szCs w:val="22"/>
                <w:lang w:eastAsia="pl-PL"/>
                <w14:ligatures w14:val="none"/>
              </w:rPr>
              <w:t>;</w:t>
            </w:r>
            <w:r w:rsidRPr="00673749">
              <w:rPr>
                <w:rFonts w:ascii="Times New Roman" w:eastAsia="Times New Roman" w:hAnsi="Times New Roman" w:cs="Times New Roman"/>
                <w:kern w:val="0"/>
                <w:sz w:val="22"/>
                <w:szCs w:val="22"/>
                <w:lang w:eastAsia="pl-PL"/>
                <w14:ligatures w14:val="none"/>
              </w:rPr>
              <w:t xml:space="preserve"> </w:t>
            </w:r>
          </w:p>
          <w:p w14:paraId="1ADFC741" w14:textId="77777777" w:rsidR="000F4267"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673749">
              <w:rPr>
                <w:rFonts w:ascii="Times New Roman" w:eastAsia="Times New Roman" w:hAnsi="Times New Roman" w:cs="Times New Roman"/>
                <w:kern w:val="0"/>
                <w:sz w:val="22"/>
                <w:szCs w:val="22"/>
                <w:lang w:eastAsia="pl-PL"/>
                <w14:ligatures w14:val="none"/>
              </w:rPr>
              <w:t>Zachodniopomorskie Centrum Mediacji i Arbitrażu</w:t>
            </w:r>
            <w:r w:rsidR="000F4267">
              <w:rPr>
                <w:rFonts w:ascii="Times New Roman" w:eastAsia="Times New Roman" w:hAnsi="Times New Roman" w:cs="Times New Roman"/>
                <w:kern w:val="0"/>
                <w:sz w:val="22"/>
                <w:szCs w:val="22"/>
                <w:lang w:eastAsia="pl-PL"/>
                <w14:ligatures w14:val="none"/>
              </w:rPr>
              <w:t>;</w:t>
            </w:r>
          </w:p>
          <w:p w14:paraId="70516BAA" w14:textId="77777777" w:rsidR="000F4267"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0F4267">
              <w:rPr>
                <w:rFonts w:ascii="Times New Roman" w:eastAsia="Times New Roman" w:hAnsi="Times New Roman" w:cs="Times New Roman"/>
                <w:kern w:val="0"/>
                <w:sz w:val="22"/>
                <w:szCs w:val="22"/>
                <w:lang w:eastAsia="pl-PL"/>
                <w14:ligatures w14:val="none"/>
              </w:rPr>
              <w:t>Centrum Arbitrażu i Mediacji w Rzeszowie</w:t>
            </w:r>
            <w:r w:rsidR="000F4267" w:rsidRPr="000F4267">
              <w:rPr>
                <w:rFonts w:ascii="Times New Roman" w:eastAsia="Times New Roman" w:hAnsi="Times New Roman" w:cs="Times New Roman"/>
                <w:kern w:val="0"/>
                <w:sz w:val="22"/>
                <w:szCs w:val="22"/>
                <w:lang w:eastAsia="pl-PL"/>
                <w14:ligatures w14:val="none"/>
              </w:rPr>
              <w:t>;</w:t>
            </w:r>
          </w:p>
          <w:p w14:paraId="48BECC4B" w14:textId="77777777" w:rsidR="000F4267"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0F4267">
              <w:rPr>
                <w:rFonts w:ascii="Times New Roman" w:eastAsia="Times New Roman" w:hAnsi="Times New Roman" w:cs="Times New Roman"/>
                <w:kern w:val="0"/>
                <w:sz w:val="22"/>
                <w:szCs w:val="22"/>
                <w:lang w:eastAsia="pl-PL"/>
                <w14:ligatures w14:val="none"/>
              </w:rPr>
              <w:t>Polskie Centrum Mediacji</w:t>
            </w:r>
            <w:r w:rsidR="000F4267" w:rsidRPr="000F4267">
              <w:rPr>
                <w:rFonts w:ascii="Times New Roman" w:eastAsia="Times New Roman" w:hAnsi="Times New Roman" w:cs="Times New Roman"/>
                <w:kern w:val="0"/>
                <w:sz w:val="22"/>
                <w:szCs w:val="22"/>
                <w:lang w:eastAsia="pl-PL"/>
                <w14:ligatures w14:val="none"/>
              </w:rPr>
              <w:t>;</w:t>
            </w:r>
          </w:p>
          <w:p w14:paraId="054703EA" w14:textId="77777777" w:rsidR="00254FCB" w:rsidRDefault="00177F9E"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0F4267">
              <w:rPr>
                <w:rFonts w:ascii="Times New Roman" w:eastAsia="Times New Roman" w:hAnsi="Times New Roman" w:cs="Times New Roman"/>
                <w:kern w:val="0"/>
                <w:sz w:val="22"/>
                <w:szCs w:val="22"/>
                <w:lang w:eastAsia="pl-PL"/>
                <w14:ligatures w14:val="none"/>
              </w:rPr>
              <w:t>Stowarzyszenie Mediatorów Rodzinnych</w:t>
            </w:r>
            <w:r w:rsidR="000F4267" w:rsidRPr="000F4267">
              <w:rPr>
                <w:rFonts w:ascii="Times New Roman" w:eastAsia="Times New Roman" w:hAnsi="Times New Roman" w:cs="Times New Roman"/>
                <w:kern w:val="0"/>
                <w:sz w:val="22"/>
                <w:szCs w:val="22"/>
                <w:lang w:eastAsia="pl-PL"/>
                <w14:ligatures w14:val="none"/>
              </w:rPr>
              <w:t>;</w:t>
            </w:r>
          </w:p>
          <w:p w14:paraId="2E63AB30" w14:textId="106DC8E8" w:rsidR="00177F9E" w:rsidRPr="000F4267" w:rsidRDefault="00254FCB" w:rsidP="00673749">
            <w:pPr>
              <w:pStyle w:val="Akapitzlist"/>
              <w:widowControl w:val="0"/>
              <w:numPr>
                <w:ilvl w:val="0"/>
                <w:numId w:val="3"/>
              </w:numPr>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lastRenderedPageBreak/>
              <w:t>Stowarzyszenie Notariuszy Rzeczypospolitej Polskiej</w:t>
            </w:r>
            <w:r>
              <w:rPr>
                <w:rFonts w:ascii="Times New Roman" w:eastAsia="Times New Roman" w:hAnsi="Times New Roman" w:cs="Times New Roman"/>
                <w:kern w:val="0"/>
                <w:sz w:val="22"/>
                <w:szCs w:val="22"/>
                <w:lang w:eastAsia="pl-PL"/>
                <w14:ligatures w14:val="none"/>
              </w:rPr>
              <w:t>;</w:t>
            </w:r>
          </w:p>
          <w:p w14:paraId="353CFDD0" w14:textId="77777777" w:rsidR="000F4267" w:rsidRDefault="000F4267"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p>
          <w:p w14:paraId="40AB09FC" w14:textId="283F6B27" w:rsidR="00177F9E" w:rsidRPr="00177F9E" w:rsidRDefault="00615DAB"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t>–</w:t>
            </w:r>
            <w:r w:rsidR="00177F9E" w:rsidRPr="00177F9E">
              <w:rPr>
                <w:rFonts w:ascii="Times New Roman" w:eastAsia="Times New Roman" w:hAnsi="Times New Roman" w:cs="Times New Roman"/>
                <w:kern w:val="0"/>
                <w:sz w:val="22"/>
                <w:szCs w:val="22"/>
                <w:lang w:eastAsia="pl-PL"/>
                <w14:ligatures w14:val="none"/>
              </w:rPr>
              <w:t xml:space="preserve"> w ramach opiniowania:</w:t>
            </w:r>
          </w:p>
          <w:p w14:paraId="7CAACF33" w14:textId="5EAAED1A"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1) Sąd Najwyższy</w:t>
            </w:r>
            <w:r w:rsidR="000F4267">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w:t>
            </w:r>
          </w:p>
          <w:p w14:paraId="3FDBE2BF" w14:textId="00329966"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2) Naczelny Sąd Administracyjny</w:t>
            </w:r>
            <w:r w:rsidR="000F4267">
              <w:rPr>
                <w:rFonts w:ascii="Times New Roman" w:eastAsia="Times New Roman" w:hAnsi="Times New Roman" w:cs="Times New Roman"/>
                <w:kern w:val="0"/>
                <w:sz w:val="22"/>
                <w:szCs w:val="22"/>
                <w:lang w:eastAsia="pl-PL"/>
                <w14:ligatures w14:val="none"/>
              </w:rPr>
              <w:t>;</w:t>
            </w:r>
          </w:p>
          <w:p w14:paraId="71967FBE" w14:textId="2F951735"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3) Prokurator Krajowy</w:t>
            </w:r>
            <w:r w:rsidR="000F4267">
              <w:rPr>
                <w:rFonts w:ascii="Times New Roman" w:eastAsia="Times New Roman" w:hAnsi="Times New Roman" w:cs="Times New Roman"/>
                <w:kern w:val="0"/>
                <w:sz w:val="22"/>
                <w:szCs w:val="22"/>
                <w:lang w:eastAsia="pl-PL"/>
                <w14:ligatures w14:val="none"/>
              </w:rPr>
              <w:t>;</w:t>
            </w:r>
          </w:p>
          <w:p w14:paraId="35AF8B5E" w14:textId="3562CC50"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4) Prezes Urzędu Ochrony Konkurencji i Konsumentów</w:t>
            </w:r>
            <w:r w:rsidR="000F4267">
              <w:rPr>
                <w:rFonts w:ascii="Times New Roman" w:eastAsia="Times New Roman" w:hAnsi="Times New Roman" w:cs="Times New Roman"/>
                <w:kern w:val="0"/>
                <w:sz w:val="22"/>
                <w:szCs w:val="22"/>
                <w:lang w:eastAsia="pl-PL"/>
                <w14:ligatures w14:val="none"/>
              </w:rPr>
              <w:t>;</w:t>
            </w:r>
          </w:p>
          <w:p w14:paraId="2A826BFE" w14:textId="2A44E1BF"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5) Prezes Urzędu Ochrony Danych Osobowych</w:t>
            </w:r>
            <w:r w:rsidR="000F4267">
              <w:rPr>
                <w:rFonts w:ascii="Times New Roman" w:eastAsia="Times New Roman" w:hAnsi="Times New Roman" w:cs="Times New Roman"/>
                <w:kern w:val="0"/>
                <w:sz w:val="22"/>
                <w:szCs w:val="22"/>
                <w:lang w:eastAsia="pl-PL"/>
                <w14:ligatures w14:val="none"/>
              </w:rPr>
              <w:t>;</w:t>
            </w:r>
          </w:p>
          <w:p w14:paraId="6875B6C1" w14:textId="424392C8"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6) Prokuratoria Generalna Rzeczypospolitej Polskiej</w:t>
            </w:r>
            <w:r w:rsidR="000F4267">
              <w:rPr>
                <w:rFonts w:ascii="Times New Roman" w:eastAsia="Times New Roman" w:hAnsi="Times New Roman" w:cs="Times New Roman"/>
                <w:kern w:val="0"/>
                <w:sz w:val="22"/>
                <w:szCs w:val="22"/>
                <w:lang w:eastAsia="pl-PL"/>
                <w14:ligatures w14:val="none"/>
              </w:rPr>
              <w:t>;</w:t>
            </w:r>
          </w:p>
          <w:p w14:paraId="06F0EEE5" w14:textId="0AFBDA90"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7) Krajowa Rada Sądownictwa</w:t>
            </w:r>
            <w:r w:rsidR="000F4267">
              <w:rPr>
                <w:rFonts w:ascii="Times New Roman" w:eastAsia="Times New Roman" w:hAnsi="Times New Roman" w:cs="Times New Roman"/>
                <w:kern w:val="0"/>
                <w:sz w:val="22"/>
                <w:szCs w:val="22"/>
                <w:lang w:eastAsia="pl-PL"/>
                <w14:ligatures w14:val="none"/>
              </w:rPr>
              <w:t>;</w:t>
            </w:r>
          </w:p>
          <w:p w14:paraId="6409866E" w14:textId="7AFC75E4"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8) Rzecznik Praw Obywatelskich</w:t>
            </w:r>
            <w:r w:rsidR="000F4267">
              <w:rPr>
                <w:rFonts w:ascii="Times New Roman" w:eastAsia="Times New Roman" w:hAnsi="Times New Roman" w:cs="Times New Roman"/>
                <w:kern w:val="0"/>
                <w:sz w:val="22"/>
                <w:szCs w:val="22"/>
                <w:lang w:eastAsia="pl-PL"/>
                <w14:ligatures w14:val="none"/>
              </w:rPr>
              <w:t>;</w:t>
            </w:r>
          </w:p>
          <w:p w14:paraId="5C770F7D" w14:textId="11692D4F"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9) Rzecznik Praw Dziecka</w:t>
            </w:r>
            <w:r w:rsidR="000F4267">
              <w:rPr>
                <w:rFonts w:ascii="Times New Roman" w:eastAsia="Times New Roman" w:hAnsi="Times New Roman" w:cs="Times New Roman"/>
                <w:kern w:val="0"/>
                <w:sz w:val="22"/>
                <w:szCs w:val="22"/>
                <w:lang w:eastAsia="pl-PL"/>
                <w14:ligatures w14:val="none"/>
              </w:rPr>
              <w:t>;</w:t>
            </w:r>
          </w:p>
          <w:p w14:paraId="5E9A0CF8" w14:textId="1804F64A"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10) Naczelna Rada Adwokacka</w:t>
            </w:r>
            <w:r w:rsidR="000F4267">
              <w:rPr>
                <w:rFonts w:ascii="Times New Roman" w:eastAsia="Times New Roman" w:hAnsi="Times New Roman" w:cs="Times New Roman"/>
                <w:kern w:val="0"/>
                <w:sz w:val="22"/>
                <w:szCs w:val="22"/>
                <w:lang w:eastAsia="pl-PL"/>
                <w14:ligatures w14:val="none"/>
              </w:rPr>
              <w:t>;</w:t>
            </w:r>
          </w:p>
          <w:p w14:paraId="56F068C6" w14:textId="1ED68D81"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11) Krajowa </w:t>
            </w:r>
            <w:r w:rsidR="004D6297">
              <w:rPr>
                <w:rFonts w:ascii="Times New Roman" w:eastAsia="Times New Roman" w:hAnsi="Times New Roman" w:cs="Times New Roman"/>
                <w:kern w:val="0"/>
                <w:sz w:val="22"/>
                <w:szCs w:val="22"/>
                <w:lang w:eastAsia="pl-PL"/>
                <w14:ligatures w14:val="none"/>
              </w:rPr>
              <w:t>Rada</w:t>
            </w:r>
            <w:r w:rsidRPr="00177F9E">
              <w:rPr>
                <w:rFonts w:ascii="Times New Roman" w:eastAsia="Times New Roman" w:hAnsi="Times New Roman" w:cs="Times New Roman"/>
                <w:kern w:val="0"/>
                <w:sz w:val="22"/>
                <w:szCs w:val="22"/>
                <w:lang w:eastAsia="pl-PL"/>
                <w14:ligatures w14:val="none"/>
              </w:rPr>
              <w:t xml:space="preserve"> Radców Prawnych</w:t>
            </w:r>
            <w:r w:rsidR="000F4267">
              <w:rPr>
                <w:rFonts w:ascii="Times New Roman" w:eastAsia="Times New Roman" w:hAnsi="Times New Roman" w:cs="Times New Roman"/>
                <w:kern w:val="0"/>
                <w:sz w:val="22"/>
                <w:szCs w:val="22"/>
                <w:lang w:eastAsia="pl-PL"/>
                <w14:ligatures w14:val="none"/>
              </w:rPr>
              <w:t>;</w:t>
            </w:r>
          </w:p>
          <w:p w14:paraId="5FF0563C" w14:textId="4BA9BDB3"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12) Krajowa Rada Notarialna</w:t>
            </w:r>
            <w:r w:rsidR="000F4267">
              <w:rPr>
                <w:rFonts w:ascii="Times New Roman" w:eastAsia="Times New Roman" w:hAnsi="Times New Roman" w:cs="Times New Roman"/>
                <w:kern w:val="0"/>
                <w:sz w:val="22"/>
                <w:szCs w:val="22"/>
                <w:lang w:eastAsia="pl-PL"/>
                <w14:ligatures w14:val="none"/>
              </w:rPr>
              <w:t>;</w:t>
            </w:r>
          </w:p>
          <w:p w14:paraId="1EFBCB32" w14:textId="7E3829D5" w:rsidR="00177F9E" w:rsidRP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13) Krajowa Rada Komornicza</w:t>
            </w:r>
            <w:r w:rsidR="000F4267">
              <w:rPr>
                <w:rFonts w:ascii="Times New Roman" w:eastAsia="Times New Roman" w:hAnsi="Times New Roman" w:cs="Times New Roman"/>
                <w:kern w:val="0"/>
                <w:sz w:val="22"/>
                <w:szCs w:val="22"/>
                <w:lang w:eastAsia="pl-PL"/>
                <w14:ligatures w14:val="none"/>
              </w:rPr>
              <w:t>;</w:t>
            </w:r>
          </w:p>
          <w:p w14:paraId="507602AE" w14:textId="77777777" w:rsidR="00177F9E" w:rsidRDefault="00177F9E" w:rsidP="00673749">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15) </w:t>
            </w:r>
            <w:r w:rsidR="00615DAB">
              <w:rPr>
                <w:rFonts w:ascii="Times New Roman" w:eastAsia="Times New Roman" w:hAnsi="Times New Roman" w:cs="Times New Roman"/>
                <w:kern w:val="0"/>
                <w:sz w:val="22"/>
                <w:szCs w:val="22"/>
                <w:lang w:eastAsia="pl-PL"/>
                <w14:ligatures w14:val="none"/>
              </w:rPr>
              <w:t>s</w:t>
            </w:r>
            <w:r w:rsidRPr="00177F9E">
              <w:rPr>
                <w:rFonts w:ascii="Times New Roman" w:eastAsia="Times New Roman" w:hAnsi="Times New Roman" w:cs="Times New Roman"/>
                <w:kern w:val="0"/>
                <w:sz w:val="22"/>
                <w:szCs w:val="22"/>
                <w:lang w:eastAsia="pl-PL"/>
                <w14:ligatures w14:val="none"/>
              </w:rPr>
              <w:t>ądy powszechne.</w:t>
            </w:r>
          </w:p>
          <w:p w14:paraId="57475A13" w14:textId="77777777" w:rsidR="00254FCB" w:rsidRDefault="00172C29" w:rsidP="00254FCB">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sidRPr="00172C29">
              <w:rPr>
                <w:rFonts w:ascii="Times New Roman" w:eastAsia="Times New Roman" w:hAnsi="Times New Roman" w:cs="Times New Roman"/>
                <w:kern w:val="0"/>
                <w:sz w:val="22"/>
                <w:szCs w:val="22"/>
                <w:lang w:eastAsia="pl-PL"/>
                <w14:ligatures w14:val="none"/>
              </w:rPr>
              <w:t>Podsumowanie wyników konsultacji publicznych i opiniowania zostało opisane w raporcie z konsultacji</w:t>
            </w:r>
            <w:r w:rsidR="00254FCB">
              <w:rPr>
                <w:rFonts w:ascii="Times New Roman" w:eastAsia="Times New Roman" w:hAnsi="Times New Roman" w:cs="Times New Roman"/>
                <w:kern w:val="0"/>
                <w:sz w:val="22"/>
                <w:szCs w:val="22"/>
                <w:lang w:eastAsia="pl-PL"/>
                <w14:ligatures w14:val="none"/>
              </w:rPr>
              <w:t>.</w:t>
            </w:r>
          </w:p>
          <w:p w14:paraId="3CAF0F5C" w14:textId="56E982AF" w:rsidR="00172C29" w:rsidRPr="00177F9E" w:rsidRDefault="003C279F" w:rsidP="00254FCB">
            <w:pPr>
              <w:widowControl w:val="0"/>
              <w:autoSpaceDE w:val="0"/>
              <w:autoSpaceDN w:val="0"/>
              <w:adjustRightInd w:val="0"/>
              <w:spacing w:after="0" w:line="240" w:lineRule="auto"/>
              <w:rPr>
                <w:rFonts w:ascii="Times New Roman" w:eastAsia="Times New Roman" w:hAnsi="Times New Roman" w:cs="Times New Roman"/>
                <w:kern w:val="0"/>
                <w:sz w:val="22"/>
                <w:szCs w:val="22"/>
                <w:lang w:eastAsia="pl-PL"/>
                <w14:ligatures w14:val="none"/>
              </w:rPr>
            </w:pPr>
            <w:r>
              <w:rPr>
                <w:rFonts w:ascii="Times New Roman" w:eastAsia="Times New Roman" w:hAnsi="Times New Roman" w:cs="Times New Roman"/>
                <w:kern w:val="0"/>
                <w:sz w:val="22"/>
                <w:szCs w:val="22"/>
                <w:lang w:eastAsia="pl-PL"/>
                <w14:ligatures w14:val="none"/>
              </w:rPr>
              <w:t>W dniu 5 lutego 2025 r. p</w:t>
            </w:r>
            <w:r w:rsidR="00172C29" w:rsidRPr="00172C29">
              <w:rPr>
                <w:rFonts w:ascii="Times New Roman" w:eastAsia="Times New Roman" w:hAnsi="Times New Roman" w:cs="Times New Roman"/>
                <w:kern w:val="0"/>
                <w:sz w:val="22"/>
                <w:szCs w:val="22"/>
                <w:lang w:eastAsia="pl-PL"/>
                <w14:ligatures w14:val="none"/>
              </w:rPr>
              <w:t xml:space="preserve">rojekt </w:t>
            </w:r>
            <w:r>
              <w:rPr>
                <w:rFonts w:ascii="Times New Roman" w:eastAsia="Times New Roman" w:hAnsi="Times New Roman" w:cs="Times New Roman"/>
                <w:kern w:val="0"/>
                <w:sz w:val="22"/>
                <w:szCs w:val="22"/>
                <w:lang w:eastAsia="pl-PL"/>
                <w14:ligatures w14:val="none"/>
              </w:rPr>
              <w:t>ustawy uzyskał negatywną opinię</w:t>
            </w:r>
            <w:r w:rsidR="00172C29" w:rsidRPr="00172C29">
              <w:rPr>
                <w:rFonts w:ascii="Times New Roman" w:eastAsia="Times New Roman" w:hAnsi="Times New Roman" w:cs="Times New Roman"/>
                <w:kern w:val="0"/>
                <w:sz w:val="22"/>
                <w:szCs w:val="22"/>
                <w:lang w:eastAsia="pl-PL"/>
                <w14:ligatures w14:val="none"/>
              </w:rPr>
              <w:t xml:space="preserve"> Komisj</w:t>
            </w:r>
            <w:r>
              <w:rPr>
                <w:rFonts w:ascii="Times New Roman" w:eastAsia="Times New Roman" w:hAnsi="Times New Roman" w:cs="Times New Roman"/>
                <w:kern w:val="0"/>
                <w:sz w:val="22"/>
                <w:szCs w:val="22"/>
                <w:lang w:eastAsia="pl-PL"/>
                <w14:ligatures w14:val="none"/>
              </w:rPr>
              <w:t>i</w:t>
            </w:r>
            <w:r w:rsidR="00172C29" w:rsidRPr="00172C29">
              <w:rPr>
                <w:rFonts w:ascii="Times New Roman" w:eastAsia="Times New Roman" w:hAnsi="Times New Roman" w:cs="Times New Roman"/>
                <w:kern w:val="0"/>
                <w:sz w:val="22"/>
                <w:szCs w:val="22"/>
                <w:lang w:eastAsia="pl-PL"/>
                <w14:ligatures w14:val="none"/>
              </w:rPr>
              <w:t xml:space="preserve"> Wspóln</w:t>
            </w:r>
            <w:r>
              <w:rPr>
                <w:rFonts w:ascii="Times New Roman" w:eastAsia="Times New Roman" w:hAnsi="Times New Roman" w:cs="Times New Roman"/>
                <w:kern w:val="0"/>
                <w:sz w:val="22"/>
                <w:szCs w:val="22"/>
                <w:lang w:eastAsia="pl-PL"/>
                <w14:ligatures w14:val="none"/>
              </w:rPr>
              <w:t>ej</w:t>
            </w:r>
            <w:r w:rsidR="00172C29" w:rsidRPr="00172C29">
              <w:rPr>
                <w:rFonts w:ascii="Times New Roman" w:eastAsia="Times New Roman" w:hAnsi="Times New Roman" w:cs="Times New Roman"/>
                <w:kern w:val="0"/>
                <w:sz w:val="22"/>
                <w:szCs w:val="22"/>
                <w:lang w:eastAsia="pl-PL"/>
                <w14:ligatures w14:val="none"/>
              </w:rPr>
              <w:t xml:space="preserve"> Rządu i Samorządu Terytorialnego</w:t>
            </w:r>
            <w:r w:rsidR="00172C29">
              <w:rPr>
                <w:rFonts w:ascii="Times New Roman" w:eastAsia="Times New Roman" w:hAnsi="Times New Roman" w:cs="Times New Roman"/>
                <w:kern w:val="0"/>
                <w:sz w:val="22"/>
                <w:szCs w:val="22"/>
                <w:lang w:eastAsia="pl-PL"/>
                <w14:ligatures w14:val="none"/>
              </w:rPr>
              <w:t>.</w:t>
            </w:r>
          </w:p>
        </w:tc>
      </w:tr>
      <w:tr w:rsidR="00177F9E" w:rsidRPr="00177F9E" w14:paraId="00FC81F1" w14:textId="77777777" w:rsidTr="00A67F48">
        <w:trPr>
          <w:trHeight w:val="363"/>
          <w:jc w:val="center"/>
        </w:trPr>
        <w:tc>
          <w:tcPr>
            <w:tcW w:w="10916" w:type="dxa"/>
            <w:gridSpan w:val="22"/>
            <w:shd w:val="clear" w:color="auto" w:fill="99CCFF"/>
            <w:vAlign w:val="center"/>
          </w:tcPr>
          <w:p w14:paraId="7DFA28C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kern w:val="0"/>
                <w:szCs w:val="20"/>
                <w:lang w:eastAsia="pl-PL"/>
                <w14:ligatures w14:val="none"/>
              </w:rPr>
              <w:lastRenderedPageBreak/>
              <w:t xml:space="preserve"> </w:t>
            </w:r>
            <w:r w:rsidRPr="00177F9E">
              <w:rPr>
                <w:rFonts w:ascii="Times New Roman" w:eastAsia="Times New Roman" w:hAnsi="Times New Roman" w:cs="Arial"/>
                <w:b/>
                <w:kern w:val="0"/>
                <w:sz w:val="22"/>
                <w:szCs w:val="22"/>
                <w:lang w:eastAsia="pl-PL"/>
                <w14:ligatures w14:val="none"/>
              </w:rPr>
              <w:t>6. Wpływ na sektor finansów publicznych</w:t>
            </w:r>
          </w:p>
        </w:tc>
      </w:tr>
      <w:tr w:rsidR="00177F9E" w:rsidRPr="00177F9E" w14:paraId="6D6A66E8" w14:textId="77777777" w:rsidTr="00A67F48">
        <w:trPr>
          <w:trHeight w:val="142"/>
          <w:jc w:val="center"/>
        </w:trPr>
        <w:tc>
          <w:tcPr>
            <w:tcW w:w="2266" w:type="dxa"/>
            <w:vMerge w:val="restart"/>
            <w:shd w:val="clear" w:color="auto" w:fill="FFFFFF"/>
            <w:vAlign w:val="center"/>
          </w:tcPr>
          <w:p w14:paraId="7211AE0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(ceny stałe z 2024 r.)</w:t>
            </w:r>
          </w:p>
        </w:tc>
        <w:tc>
          <w:tcPr>
            <w:tcW w:w="8650" w:type="dxa"/>
            <w:gridSpan w:val="21"/>
            <w:shd w:val="clear" w:color="auto" w:fill="FFFFFF"/>
            <w:vAlign w:val="center"/>
          </w:tcPr>
          <w:p w14:paraId="2B4E143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Skutki w okresie 10 lat od wejścia w życie zmian [mln zł]</w:t>
            </w:r>
          </w:p>
        </w:tc>
      </w:tr>
      <w:tr w:rsidR="00177F9E" w:rsidRPr="00177F9E" w14:paraId="11BA8AB2" w14:textId="77777777" w:rsidTr="00A67F48">
        <w:trPr>
          <w:trHeight w:val="142"/>
          <w:jc w:val="center"/>
        </w:trPr>
        <w:tc>
          <w:tcPr>
            <w:tcW w:w="2266" w:type="dxa"/>
            <w:vMerge/>
            <w:shd w:val="clear" w:color="auto" w:fill="FFFFFF"/>
            <w:vAlign w:val="center"/>
          </w:tcPr>
          <w:p w14:paraId="25FAC5D3"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p>
        </w:tc>
        <w:tc>
          <w:tcPr>
            <w:tcW w:w="708" w:type="dxa"/>
            <w:tcBorders>
              <w:bottom w:val="single" w:sz="4" w:space="0" w:color="auto"/>
            </w:tcBorders>
            <w:shd w:val="clear" w:color="auto" w:fill="D9D9D9"/>
            <w:vAlign w:val="center"/>
          </w:tcPr>
          <w:p w14:paraId="2083E6BA"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Arial"/>
                <w:kern w:val="0"/>
                <w:sz w:val="18"/>
                <w:szCs w:val="18"/>
                <w:lang w:eastAsia="pl-PL"/>
                <w14:ligatures w14:val="none"/>
              </w:rPr>
            </w:pPr>
            <w:r w:rsidRPr="00177F9E">
              <w:rPr>
                <w:rFonts w:ascii="Times New Roman" w:eastAsia="Times New Roman" w:hAnsi="Times New Roman" w:cs="Arial"/>
                <w:kern w:val="0"/>
                <w:sz w:val="18"/>
                <w:szCs w:val="18"/>
                <w:lang w:eastAsia="pl-PL"/>
                <w14:ligatures w14:val="none"/>
              </w:rPr>
              <w:t>0</w:t>
            </w:r>
          </w:p>
        </w:tc>
        <w:tc>
          <w:tcPr>
            <w:tcW w:w="708" w:type="dxa"/>
            <w:gridSpan w:val="2"/>
            <w:tcBorders>
              <w:bottom w:val="single" w:sz="4" w:space="0" w:color="auto"/>
            </w:tcBorders>
            <w:shd w:val="clear" w:color="auto" w:fill="D9D9D9"/>
            <w:vAlign w:val="center"/>
          </w:tcPr>
          <w:p w14:paraId="7F373473"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w:t>
            </w:r>
          </w:p>
          <w:p w14:paraId="03E4198A"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(2026)</w:t>
            </w:r>
          </w:p>
        </w:tc>
        <w:tc>
          <w:tcPr>
            <w:tcW w:w="708" w:type="dxa"/>
            <w:tcBorders>
              <w:bottom w:val="single" w:sz="4" w:space="0" w:color="auto"/>
            </w:tcBorders>
            <w:shd w:val="clear" w:color="auto" w:fill="D9D9D9"/>
            <w:vAlign w:val="center"/>
          </w:tcPr>
          <w:p w14:paraId="60B47D0D"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w:t>
            </w:r>
          </w:p>
          <w:p w14:paraId="072E453A"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(2027)</w:t>
            </w:r>
          </w:p>
        </w:tc>
        <w:tc>
          <w:tcPr>
            <w:tcW w:w="708" w:type="dxa"/>
            <w:tcBorders>
              <w:bottom w:val="single" w:sz="4" w:space="0" w:color="auto"/>
            </w:tcBorders>
            <w:shd w:val="clear" w:color="auto" w:fill="D9D9D9"/>
            <w:vAlign w:val="center"/>
          </w:tcPr>
          <w:p w14:paraId="15226BF5"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3</w:t>
            </w:r>
          </w:p>
          <w:p w14:paraId="64945E15"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(2028)</w:t>
            </w:r>
          </w:p>
        </w:tc>
        <w:tc>
          <w:tcPr>
            <w:tcW w:w="708" w:type="dxa"/>
            <w:gridSpan w:val="3"/>
            <w:tcBorders>
              <w:bottom w:val="single" w:sz="4" w:space="0" w:color="auto"/>
            </w:tcBorders>
            <w:shd w:val="clear" w:color="auto" w:fill="D9D9D9"/>
            <w:vAlign w:val="center"/>
          </w:tcPr>
          <w:p w14:paraId="2AEA41CB"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4</w:t>
            </w:r>
          </w:p>
          <w:p w14:paraId="77EACD61"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(2029)</w:t>
            </w:r>
          </w:p>
        </w:tc>
        <w:tc>
          <w:tcPr>
            <w:tcW w:w="707" w:type="dxa"/>
            <w:gridSpan w:val="2"/>
            <w:tcBorders>
              <w:bottom w:val="single" w:sz="4" w:space="0" w:color="auto"/>
            </w:tcBorders>
            <w:shd w:val="clear" w:color="auto" w:fill="D9D9D9"/>
            <w:vAlign w:val="center"/>
          </w:tcPr>
          <w:p w14:paraId="05D5EAC4"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5</w:t>
            </w:r>
          </w:p>
          <w:p w14:paraId="7A9C23A9"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(2030)</w:t>
            </w:r>
          </w:p>
        </w:tc>
        <w:tc>
          <w:tcPr>
            <w:tcW w:w="708" w:type="dxa"/>
            <w:gridSpan w:val="3"/>
            <w:tcBorders>
              <w:bottom w:val="single" w:sz="4" w:space="0" w:color="auto"/>
            </w:tcBorders>
            <w:shd w:val="clear" w:color="auto" w:fill="D9D9D9"/>
            <w:vAlign w:val="center"/>
          </w:tcPr>
          <w:p w14:paraId="53110F04"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6</w:t>
            </w:r>
          </w:p>
          <w:p w14:paraId="5079F9C6"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(2031)</w:t>
            </w:r>
          </w:p>
        </w:tc>
        <w:tc>
          <w:tcPr>
            <w:tcW w:w="708" w:type="dxa"/>
            <w:gridSpan w:val="3"/>
            <w:tcBorders>
              <w:bottom w:val="single" w:sz="4" w:space="0" w:color="auto"/>
            </w:tcBorders>
            <w:shd w:val="clear" w:color="auto" w:fill="D9D9D9"/>
            <w:vAlign w:val="center"/>
          </w:tcPr>
          <w:p w14:paraId="726FFB4A"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7</w:t>
            </w:r>
          </w:p>
          <w:p w14:paraId="4D084855"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(2032)</w:t>
            </w:r>
          </w:p>
        </w:tc>
        <w:tc>
          <w:tcPr>
            <w:tcW w:w="708" w:type="dxa"/>
            <w:tcBorders>
              <w:bottom w:val="single" w:sz="4" w:space="0" w:color="auto"/>
            </w:tcBorders>
            <w:shd w:val="clear" w:color="auto" w:fill="D9D9D9"/>
            <w:vAlign w:val="center"/>
          </w:tcPr>
          <w:p w14:paraId="51CBC7DC"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8</w:t>
            </w:r>
          </w:p>
          <w:p w14:paraId="11BF1ABE"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(2033)</w:t>
            </w:r>
          </w:p>
        </w:tc>
        <w:tc>
          <w:tcPr>
            <w:tcW w:w="707" w:type="dxa"/>
            <w:tcBorders>
              <w:bottom w:val="single" w:sz="4" w:space="0" w:color="auto"/>
            </w:tcBorders>
            <w:shd w:val="clear" w:color="auto" w:fill="D9D9D9"/>
            <w:vAlign w:val="center"/>
          </w:tcPr>
          <w:p w14:paraId="6B719A00"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9</w:t>
            </w:r>
          </w:p>
          <w:p w14:paraId="002DEDF0"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(2034)</w:t>
            </w:r>
          </w:p>
        </w:tc>
        <w:tc>
          <w:tcPr>
            <w:tcW w:w="708" w:type="dxa"/>
            <w:gridSpan w:val="2"/>
            <w:tcBorders>
              <w:bottom w:val="single" w:sz="4" w:space="0" w:color="auto"/>
            </w:tcBorders>
            <w:shd w:val="clear" w:color="auto" w:fill="D9D9D9"/>
            <w:vAlign w:val="center"/>
          </w:tcPr>
          <w:p w14:paraId="7D0DAE15"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10</w:t>
            </w:r>
          </w:p>
          <w:p w14:paraId="10DC47AE"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(2035)</w:t>
            </w:r>
          </w:p>
        </w:tc>
        <w:tc>
          <w:tcPr>
            <w:tcW w:w="864" w:type="dxa"/>
            <w:tcBorders>
              <w:bottom w:val="single" w:sz="4" w:space="0" w:color="auto"/>
            </w:tcBorders>
            <w:shd w:val="clear" w:color="auto" w:fill="D9D9D9"/>
            <w:vAlign w:val="center"/>
          </w:tcPr>
          <w:p w14:paraId="6DB69D39" w14:textId="77777777" w:rsidR="00177F9E" w:rsidRPr="00177F9E" w:rsidRDefault="00177F9E" w:rsidP="00C772D4">
            <w:pPr>
              <w:widowControl w:val="0"/>
              <w:autoSpaceDE w:val="0"/>
              <w:autoSpaceDN w:val="0"/>
              <w:adjustRightInd w:val="0"/>
              <w:spacing w:after="0" w:line="360" w:lineRule="auto"/>
              <w:jc w:val="center"/>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Łącznie (0-10)</w:t>
            </w:r>
          </w:p>
        </w:tc>
      </w:tr>
      <w:tr w:rsidR="00177F9E" w:rsidRPr="00177F9E" w14:paraId="56F60297" w14:textId="77777777" w:rsidTr="00A67F48">
        <w:trPr>
          <w:trHeight w:val="321"/>
          <w:jc w:val="center"/>
        </w:trPr>
        <w:tc>
          <w:tcPr>
            <w:tcW w:w="2266" w:type="dxa"/>
            <w:shd w:val="clear" w:color="auto" w:fill="FFFFFF"/>
            <w:vAlign w:val="center"/>
          </w:tcPr>
          <w:p w14:paraId="3C67933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Dochody ogółem</w:t>
            </w:r>
          </w:p>
        </w:tc>
        <w:tc>
          <w:tcPr>
            <w:tcW w:w="708" w:type="dxa"/>
            <w:tcBorders>
              <w:top w:val="single" w:sz="4" w:space="0" w:color="auto"/>
              <w:left w:val="nil"/>
              <w:bottom w:val="single" w:sz="4" w:space="0" w:color="auto"/>
              <w:right w:val="single" w:sz="4" w:space="0" w:color="auto"/>
            </w:tcBorders>
            <w:shd w:val="clear" w:color="auto" w:fill="auto"/>
          </w:tcPr>
          <w:p w14:paraId="6C87D343"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31C09E3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582549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F4BA1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4E93E0E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1A27712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762DD03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5698E9E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3511CC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19CAC9E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13B160B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16D726B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64615202" w14:textId="77777777" w:rsidTr="00A67F48">
        <w:trPr>
          <w:trHeight w:val="321"/>
          <w:jc w:val="center"/>
        </w:trPr>
        <w:tc>
          <w:tcPr>
            <w:tcW w:w="2266" w:type="dxa"/>
            <w:shd w:val="clear" w:color="auto" w:fill="FFFFFF"/>
            <w:vAlign w:val="center"/>
          </w:tcPr>
          <w:p w14:paraId="36CE443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221B679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1060F60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CA2D0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2F176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16A18F9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4F0DED5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645714D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7BC888E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39C4B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5E3D5C0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72FF67E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4B42FFE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4C1DB202" w14:textId="77777777" w:rsidTr="00A67F48">
        <w:trPr>
          <w:trHeight w:val="344"/>
          <w:jc w:val="center"/>
        </w:trPr>
        <w:tc>
          <w:tcPr>
            <w:tcW w:w="2266" w:type="dxa"/>
            <w:shd w:val="clear" w:color="auto" w:fill="FFFFFF"/>
            <w:vAlign w:val="center"/>
          </w:tcPr>
          <w:p w14:paraId="0493FCE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JST</w:t>
            </w:r>
          </w:p>
        </w:tc>
        <w:tc>
          <w:tcPr>
            <w:tcW w:w="708" w:type="dxa"/>
            <w:tcBorders>
              <w:top w:val="single" w:sz="4" w:space="0" w:color="auto"/>
              <w:left w:val="nil"/>
              <w:bottom w:val="single" w:sz="4" w:space="0" w:color="auto"/>
              <w:right w:val="single" w:sz="4" w:space="0" w:color="auto"/>
            </w:tcBorders>
            <w:shd w:val="clear" w:color="auto" w:fill="auto"/>
          </w:tcPr>
          <w:p w14:paraId="3C5B070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0B28BBA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B4E7E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30DBF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3C7346C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2D702FE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43EA1C9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07588443"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D6ADE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6BDAF75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4A4EF4A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520CB23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6073F1FD" w14:textId="77777777" w:rsidTr="00A67F48">
        <w:trPr>
          <w:trHeight w:val="330"/>
          <w:jc w:val="center"/>
        </w:trPr>
        <w:tc>
          <w:tcPr>
            <w:tcW w:w="2266" w:type="dxa"/>
            <w:shd w:val="clear" w:color="auto" w:fill="FFFFFF"/>
            <w:vAlign w:val="center"/>
          </w:tcPr>
          <w:p w14:paraId="2A42E24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Wydatki ogółem</w:t>
            </w:r>
          </w:p>
        </w:tc>
        <w:tc>
          <w:tcPr>
            <w:tcW w:w="708" w:type="dxa"/>
            <w:tcBorders>
              <w:top w:val="single" w:sz="4" w:space="0" w:color="auto"/>
              <w:left w:val="nil"/>
              <w:bottom w:val="single" w:sz="4" w:space="0" w:color="auto"/>
              <w:right w:val="single" w:sz="4" w:space="0" w:color="auto"/>
            </w:tcBorders>
            <w:shd w:val="clear" w:color="auto" w:fill="auto"/>
          </w:tcPr>
          <w:p w14:paraId="62EE7DD3"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725DF9E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112,30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49864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115,22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B1772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118,10</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6035352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121,06</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74455AD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124,08</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23BB722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127,18</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69171FE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130,36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72FC3A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133,62</w:t>
            </w: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3E7286C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136,96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4AA8A22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140,39</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4262B98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18"/>
                <w:szCs w:val="18"/>
                <w:lang w:eastAsia="pl-PL"/>
                <w14:ligatures w14:val="none"/>
              </w:rPr>
            </w:pPr>
            <w:r w:rsidRPr="00177F9E">
              <w:rPr>
                <w:rFonts w:ascii="Times New Roman" w:eastAsia="Times New Roman" w:hAnsi="Times New Roman" w:cs="Times New Roman"/>
                <w:kern w:val="0"/>
                <w:sz w:val="18"/>
                <w:szCs w:val="18"/>
                <w:lang w:eastAsia="pl-PL"/>
                <w14:ligatures w14:val="none"/>
              </w:rPr>
              <w:t>1259,29</w:t>
            </w:r>
          </w:p>
        </w:tc>
      </w:tr>
      <w:tr w:rsidR="00177F9E" w:rsidRPr="00177F9E" w14:paraId="5CCB1615" w14:textId="77777777" w:rsidTr="00A67F48">
        <w:trPr>
          <w:trHeight w:val="330"/>
          <w:jc w:val="center"/>
        </w:trPr>
        <w:tc>
          <w:tcPr>
            <w:tcW w:w="2266" w:type="dxa"/>
            <w:shd w:val="clear" w:color="auto" w:fill="FFFFFF"/>
            <w:vAlign w:val="center"/>
          </w:tcPr>
          <w:p w14:paraId="5B176C7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2CA93793"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72C5BF2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43BA6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51C22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179129E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3700781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280B5AD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56A930E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C5708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387B7CE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7473A62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13B9DFC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59B6B5DD" w14:textId="77777777" w:rsidTr="00A67F48">
        <w:trPr>
          <w:trHeight w:val="351"/>
          <w:jc w:val="center"/>
        </w:trPr>
        <w:tc>
          <w:tcPr>
            <w:tcW w:w="2266" w:type="dxa"/>
            <w:shd w:val="clear" w:color="auto" w:fill="FFFFFF"/>
            <w:vAlign w:val="center"/>
          </w:tcPr>
          <w:p w14:paraId="761B0B5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JST</w:t>
            </w:r>
          </w:p>
        </w:tc>
        <w:tc>
          <w:tcPr>
            <w:tcW w:w="708" w:type="dxa"/>
            <w:tcBorders>
              <w:top w:val="single" w:sz="4" w:space="0" w:color="auto"/>
              <w:left w:val="nil"/>
              <w:bottom w:val="single" w:sz="4" w:space="0" w:color="auto"/>
              <w:right w:val="single" w:sz="4" w:space="0" w:color="auto"/>
            </w:tcBorders>
            <w:shd w:val="clear" w:color="auto" w:fill="auto"/>
          </w:tcPr>
          <w:p w14:paraId="068E7E5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2391ADF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CAC45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BDA92D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1B3F66F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6A5EFCE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591939E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37D03DA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D9C92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200660F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2FC3ADD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00F1DCF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704A3CBC" w14:textId="77777777" w:rsidTr="00A67F48">
        <w:trPr>
          <w:trHeight w:val="360"/>
          <w:jc w:val="center"/>
        </w:trPr>
        <w:tc>
          <w:tcPr>
            <w:tcW w:w="2266" w:type="dxa"/>
            <w:shd w:val="clear" w:color="auto" w:fill="FFFFFF"/>
            <w:vAlign w:val="center"/>
          </w:tcPr>
          <w:p w14:paraId="516BB9B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Saldo ogółem</w:t>
            </w:r>
          </w:p>
        </w:tc>
        <w:tc>
          <w:tcPr>
            <w:tcW w:w="708" w:type="dxa"/>
            <w:tcBorders>
              <w:top w:val="single" w:sz="4" w:space="0" w:color="auto"/>
              <w:left w:val="nil"/>
              <w:bottom w:val="single" w:sz="4" w:space="0" w:color="auto"/>
              <w:right w:val="single" w:sz="4" w:space="0" w:color="auto"/>
            </w:tcBorders>
            <w:shd w:val="clear" w:color="auto" w:fill="auto"/>
          </w:tcPr>
          <w:p w14:paraId="2CC0DCB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7DE0A25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DC0A41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264FBD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071F863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5F6C842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6117CC4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6903908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CCB71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709855E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1F245E6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5145729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101CC88E" w14:textId="77777777" w:rsidTr="00A67F48">
        <w:trPr>
          <w:trHeight w:val="360"/>
          <w:jc w:val="center"/>
        </w:trPr>
        <w:tc>
          <w:tcPr>
            <w:tcW w:w="2266" w:type="dxa"/>
            <w:shd w:val="clear" w:color="auto" w:fill="FFFFFF"/>
            <w:vAlign w:val="center"/>
          </w:tcPr>
          <w:p w14:paraId="6B08DA6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budżet państwa</w:t>
            </w:r>
          </w:p>
        </w:tc>
        <w:tc>
          <w:tcPr>
            <w:tcW w:w="708" w:type="dxa"/>
            <w:tcBorders>
              <w:top w:val="single" w:sz="4" w:space="0" w:color="auto"/>
              <w:left w:val="nil"/>
              <w:bottom w:val="single" w:sz="4" w:space="0" w:color="auto"/>
              <w:right w:val="single" w:sz="4" w:space="0" w:color="auto"/>
            </w:tcBorders>
            <w:shd w:val="clear" w:color="auto" w:fill="auto"/>
          </w:tcPr>
          <w:p w14:paraId="4DAE8C3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3C46C14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716E5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A336F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4B801AB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0C8CB47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0CF433F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0F7A527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2B9660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7D8B33F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6055716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48EB90B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Times New Roman"/>
                <w:kern w:val="0"/>
                <w:sz w:val="22"/>
                <w:szCs w:val="22"/>
                <w:lang w:eastAsia="pl-PL"/>
                <w14:ligatures w14:val="none"/>
              </w:rPr>
            </w:pPr>
          </w:p>
        </w:tc>
      </w:tr>
      <w:tr w:rsidR="00177F9E" w:rsidRPr="00177F9E" w14:paraId="36F3213C" w14:textId="77777777" w:rsidTr="00A67F48">
        <w:trPr>
          <w:trHeight w:val="357"/>
          <w:jc w:val="center"/>
        </w:trPr>
        <w:tc>
          <w:tcPr>
            <w:tcW w:w="2266" w:type="dxa"/>
            <w:shd w:val="clear" w:color="auto" w:fill="FFFFFF"/>
            <w:vAlign w:val="center"/>
          </w:tcPr>
          <w:p w14:paraId="3B46A8E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JST</w:t>
            </w:r>
          </w:p>
        </w:tc>
        <w:tc>
          <w:tcPr>
            <w:tcW w:w="708" w:type="dxa"/>
            <w:tcBorders>
              <w:top w:val="single" w:sz="4" w:space="0" w:color="auto"/>
              <w:left w:val="nil"/>
              <w:bottom w:val="single" w:sz="4" w:space="0" w:color="auto"/>
              <w:right w:val="single" w:sz="4" w:space="0" w:color="auto"/>
            </w:tcBorders>
            <w:shd w:val="clear" w:color="auto" w:fill="auto"/>
          </w:tcPr>
          <w:p w14:paraId="20CAA46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1911A7E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5635AB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F9C7D8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11890D8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tcPr>
          <w:p w14:paraId="51D880DB"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79D42DB8"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tcPr>
          <w:p w14:paraId="5BEAD5B7"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15C0A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14:paraId="6C8C5ABF"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tcPr>
          <w:p w14:paraId="5F82454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23A974D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r>
      <w:tr w:rsidR="00177F9E" w:rsidRPr="00177F9E" w14:paraId="6DAC5C82" w14:textId="77777777" w:rsidTr="00A67F48">
        <w:trPr>
          <w:trHeight w:val="590"/>
          <w:jc w:val="center"/>
        </w:trPr>
        <w:tc>
          <w:tcPr>
            <w:tcW w:w="2266" w:type="dxa"/>
            <w:shd w:val="clear" w:color="auto" w:fill="FFFFFF"/>
            <w:vAlign w:val="center"/>
          </w:tcPr>
          <w:p w14:paraId="284ED43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Cs w:val="20"/>
                <w:lang w:eastAsia="pl-PL"/>
                <w14:ligatures w14:val="none"/>
              </w:rPr>
              <w:t xml:space="preserve">Źródła </w:t>
            </w:r>
            <w:r w:rsidRPr="00177F9E">
              <w:rPr>
                <w:rFonts w:ascii="Times New Roman" w:eastAsia="Times New Roman" w:hAnsi="Times New Roman" w:cs="Arial"/>
                <w:kern w:val="0"/>
                <w:sz w:val="22"/>
                <w:szCs w:val="22"/>
                <w:lang w:eastAsia="pl-PL"/>
                <w14:ligatures w14:val="none"/>
              </w:rPr>
              <w:t>finansowania</w:t>
            </w:r>
            <w:r w:rsidRPr="00177F9E">
              <w:rPr>
                <w:rFonts w:ascii="Times New Roman" w:eastAsia="Times New Roman" w:hAnsi="Times New Roman" w:cs="Arial"/>
                <w:kern w:val="0"/>
                <w:szCs w:val="20"/>
                <w:lang w:eastAsia="pl-PL"/>
                <w14:ligatures w14:val="none"/>
              </w:rPr>
              <w:t xml:space="preserve"> </w:t>
            </w:r>
          </w:p>
        </w:tc>
        <w:tc>
          <w:tcPr>
            <w:tcW w:w="8650" w:type="dxa"/>
            <w:gridSpan w:val="21"/>
            <w:tcBorders>
              <w:top w:val="single" w:sz="4" w:space="0" w:color="auto"/>
            </w:tcBorders>
            <w:shd w:val="clear" w:color="auto" w:fill="FFFFFF"/>
            <w:vAlign w:val="center"/>
          </w:tcPr>
          <w:p w14:paraId="732F03A9" w14:textId="7BE8DD94" w:rsidR="00177F9E" w:rsidRPr="00177F9E" w:rsidRDefault="00177F9E" w:rsidP="000F4267">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Finansowanie nieodpłatnej pomocy prawnej, nieodpłatnego poradnictwa obywatelskiego oraz edukacji prawnej</w:t>
            </w:r>
            <w:r w:rsidR="00172C29">
              <w:rPr>
                <w:rFonts w:ascii="Times New Roman" w:eastAsia="Times New Roman" w:hAnsi="Times New Roman" w:cs="Arial"/>
                <w:kern w:val="0"/>
                <w:sz w:val="22"/>
                <w:szCs w:val="22"/>
                <w:lang w:eastAsia="pl-PL"/>
                <w14:ligatures w14:val="none"/>
              </w:rPr>
              <w:t xml:space="preserve"> jest</w:t>
            </w:r>
            <w:r w:rsidRPr="00177F9E">
              <w:rPr>
                <w:rFonts w:ascii="Times New Roman" w:eastAsia="Times New Roman" w:hAnsi="Times New Roman" w:cs="Arial"/>
                <w:kern w:val="0"/>
                <w:sz w:val="22"/>
                <w:szCs w:val="22"/>
                <w:lang w:eastAsia="pl-PL"/>
                <w14:ligatures w14:val="none"/>
              </w:rPr>
              <w:t xml:space="preserve"> określone w rozdziale 5. ustawy. Zgodnie z art. 19 ustawy, zadania polegające na udzielaniu nieodpłatnej pomocy prawnej, świadczeniu nieodpłatnego poradnictwa obywatelskiego oraz edukacji prawnej są finansowane z budżetu państwa z części będącej w</w:t>
            </w:r>
            <w:r w:rsidR="00C02F84">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dyspozycji wojewodów przez udzielanie dotacji celowej powiatom.</w:t>
            </w:r>
          </w:p>
        </w:tc>
      </w:tr>
      <w:tr w:rsidR="00177F9E" w:rsidRPr="00177F9E" w14:paraId="08CCB251" w14:textId="77777777" w:rsidTr="00A67F48">
        <w:trPr>
          <w:trHeight w:val="274"/>
          <w:jc w:val="center"/>
        </w:trPr>
        <w:tc>
          <w:tcPr>
            <w:tcW w:w="2266" w:type="dxa"/>
            <w:shd w:val="clear" w:color="auto" w:fill="FFFFFF"/>
          </w:tcPr>
          <w:p w14:paraId="0865D9A5" w14:textId="46C1FA2D"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Dodatkowe informacje, </w:t>
            </w:r>
            <w:r w:rsidRPr="00177F9E">
              <w:rPr>
                <w:rFonts w:ascii="Times New Roman" w:eastAsia="Times New Roman" w:hAnsi="Times New Roman" w:cs="Times New Roman"/>
                <w:kern w:val="0"/>
                <w:sz w:val="22"/>
                <w:szCs w:val="22"/>
                <w:lang w:eastAsia="pl-PL"/>
                <w14:ligatures w14:val="none"/>
              </w:rPr>
              <w:br/>
              <w:t>w tym wskazanie źródeł danych i</w:t>
            </w:r>
            <w:r w:rsidR="00352C51">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przyjętych do obliczeń założeń</w:t>
            </w:r>
          </w:p>
        </w:tc>
        <w:tc>
          <w:tcPr>
            <w:tcW w:w="8650" w:type="dxa"/>
            <w:gridSpan w:val="21"/>
            <w:shd w:val="clear" w:color="auto" w:fill="FFFFFF"/>
          </w:tcPr>
          <w:p w14:paraId="465B5081"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Skutki finansowe ustawy w latach 2026–2035.</w:t>
            </w:r>
          </w:p>
          <w:p w14:paraId="382C3C3B" w14:textId="4D5A007F" w:rsidR="00177F9E" w:rsidRPr="00177F9E" w:rsidRDefault="00177F9E" w:rsidP="00352C51">
            <w:pPr>
              <w:suppressAutoHyphens/>
              <w:autoSpaceDE w:val="0"/>
              <w:autoSpaceDN w:val="0"/>
              <w:adjustRightInd w:val="0"/>
              <w:spacing w:before="120"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Zgodnie z art. 50 ust. 1c ustawy z dnia 27 sierpnia 2009 r. o finansach publicznych, Rada Ministrów </w:t>
            </w:r>
            <w:r w:rsidR="00B0157E">
              <w:rPr>
                <w:rFonts w:ascii="Times New Roman" w:eastAsia="Times New Roman" w:hAnsi="Times New Roman" w:cs="Times New Roman"/>
                <w:kern w:val="0"/>
                <w:sz w:val="22"/>
                <w:szCs w:val="22"/>
                <w:lang w:eastAsia="pl-PL"/>
                <w14:ligatures w14:val="none"/>
              </w:rPr>
              <w:t xml:space="preserve">jest </w:t>
            </w:r>
            <w:r w:rsidRPr="00177F9E">
              <w:rPr>
                <w:rFonts w:ascii="Times New Roman" w:eastAsia="Times New Roman" w:hAnsi="Times New Roman" w:cs="Times New Roman"/>
                <w:kern w:val="0"/>
                <w:sz w:val="22"/>
                <w:szCs w:val="22"/>
                <w:lang w:eastAsia="pl-PL"/>
                <w14:ligatures w14:val="none"/>
              </w:rPr>
              <w:t xml:space="preserve">obowiązana przedstawić Sejmowi, trzy lata przed upływem 10 lat budżetowych wykonywania danej ustawy, projekt zmiany ustawy określającej maksymalne limity wydatków jednostek sektora finansów publicznych, wyrażone kwotowo, na kolejnych 10 lat budżetowych wykonywania ustawy. </w:t>
            </w:r>
          </w:p>
          <w:p w14:paraId="140F7555" w14:textId="06F786E9"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 xml:space="preserve">Do wyliczenia maksymalnego limitu wydatków budżetu państwa w latach 2026–2035 będącego skutkiem finansowym ustawy przyjęto wskaźnik CPI przedstawiony przez Ministra Finansów </w:t>
            </w:r>
            <w:r w:rsidRPr="00177F9E">
              <w:rPr>
                <w:rFonts w:ascii="Times New Roman" w:eastAsia="Times New Roman" w:hAnsi="Times New Roman" w:cs="Times New Roman"/>
                <w:kern w:val="0"/>
                <w:sz w:val="22"/>
                <w:szCs w:val="22"/>
                <w:lang w:eastAsia="pl-PL"/>
                <w14:ligatures w14:val="none"/>
              </w:rPr>
              <w:lastRenderedPageBreak/>
              <w:t>w</w:t>
            </w:r>
            <w:r w:rsidR="00FB147B">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Wytycznych dotyczących stosowania jednolitych wskaźników makroekonomicznych będących podstawą oszacowania skutków finansowych projektowanych ustaw (aktualizacja – październik 2024 r.).</w:t>
            </w:r>
          </w:p>
          <w:p w14:paraId="7F722878" w14:textId="3C23BDED" w:rsidR="00177F9E" w:rsidRPr="00177F9E" w:rsidRDefault="00177F9E" w:rsidP="00083FBA">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W latach 2026</w:t>
            </w:r>
            <w:r w:rsidR="00083FBA" w:rsidRPr="00083FBA">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2035 maksymalny limit wydatków budżetu państwa będący skutkiem</w:t>
            </w:r>
            <w:r w:rsidR="00083FBA">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finansowym wejścia w życie niniejszej ustawy wynosi 1 259 288 006 zł, z tym że</w:t>
            </w:r>
            <w:r w:rsidR="00FB147B">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w</w:t>
            </w:r>
            <w:r w:rsidR="00083FBA">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poszczególnych latach wyniesie odpowiednio:</w:t>
            </w:r>
          </w:p>
          <w:p w14:paraId="598791BB" w14:textId="28A99FDE"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2026 r. – 112 302 706 zł;</w:t>
            </w:r>
          </w:p>
          <w:p w14:paraId="40EEA2CD" w14:textId="4B70FF67"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2027 r. – 115 222 576 zł;</w:t>
            </w:r>
          </w:p>
          <w:p w14:paraId="1DE87395" w14:textId="428D5C92"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2028 r. – 118 103 140 zł;</w:t>
            </w:r>
          </w:p>
          <w:p w14:paraId="79A6DE30" w14:textId="6F0340F2"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2029 r. – 121 055 719 zł;</w:t>
            </w:r>
          </w:p>
          <w:p w14:paraId="11A6C715" w14:textId="3A6797D3"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2030 r. – 124 082 112 zł;</w:t>
            </w:r>
          </w:p>
          <w:p w14:paraId="46303CFB" w14:textId="68E0DA89"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2031 r. – 127 184 165 zł;</w:t>
            </w:r>
          </w:p>
          <w:p w14:paraId="43A0468B" w14:textId="1519AE3A"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2032 r. – 130 363 769 zł;</w:t>
            </w:r>
          </w:p>
          <w:p w14:paraId="76BF28C5" w14:textId="5C9952B8"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2033 r. – 133 622 863 zł;</w:t>
            </w:r>
          </w:p>
          <w:p w14:paraId="1E8C0B73" w14:textId="255E72DF"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2034 r. – 136 963 435 zł;</w:t>
            </w:r>
          </w:p>
          <w:p w14:paraId="7D9FF43E" w14:textId="6EDBE407" w:rsidR="00177F9E" w:rsidRPr="00083FBA" w:rsidRDefault="00177F9E" w:rsidP="00083FBA">
            <w:pPr>
              <w:pStyle w:val="Akapitzlist"/>
              <w:widowControl w:val="0"/>
              <w:numPr>
                <w:ilvl w:val="0"/>
                <w:numId w:val="5"/>
              </w:numPr>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083FBA">
              <w:rPr>
                <w:rFonts w:ascii="Times New Roman" w:eastAsia="Times New Roman" w:hAnsi="Times New Roman" w:cs="Times New Roman"/>
                <w:kern w:val="0"/>
                <w:sz w:val="22"/>
                <w:szCs w:val="22"/>
                <w:lang w:eastAsia="pl-PL"/>
                <w14:ligatures w14:val="none"/>
              </w:rPr>
              <w:t>w 2035 r. – 140 387 521 zł.</w:t>
            </w:r>
          </w:p>
          <w:p w14:paraId="7C69FAF0" w14:textId="6B2B4749"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Times New Roman"/>
                <w:kern w:val="0"/>
                <w:sz w:val="22"/>
                <w:szCs w:val="22"/>
                <w:lang w:eastAsia="pl-PL"/>
                <w14:ligatures w14:val="none"/>
              </w:rPr>
            </w:pPr>
            <w:r w:rsidRPr="00177F9E">
              <w:rPr>
                <w:rFonts w:ascii="Times New Roman" w:eastAsia="Times New Roman" w:hAnsi="Times New Roman" w:cs="Times New Roman"/>
                <w:kern w:val="0"/>
                <w:sz w:val="22"/>
                <w:szCs w:val="22"/>
                <w:lang w:eastAsia="pl-PL"/>
                <w14:ligatures w14:val="none"/>
              </w:rPr>
              <w:t>Ewentualna modyfikacja funkcjonalności systemu teleinformatycznego do obsługi nieodpłatnej pomocy prawnej, nieodpłatnego poradnictwa obywatelskiego oraz edukacji prawnej, za</w:t>
            </w:r>
            <w:r w:rsidR="001A5F78" w:rsidRPr="00352C51">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 xml:space="preserve">pośrednictwem którego </w:t>
            </w:r>
            <w:r w:rsidR="00FB147B">
              <w:rPr>
                <w:rFonts w:ascii="Times New Roman" w:eastAsia="Times New Roman" w:hAnsi="Times New Roman" w:cs="Times New Roman"/>
                <w:kern w:val="0"/>
                <w:sz w:val="22"/>
                <w:szCs w:val="22"/>
                <w:lang w:eastAsia="pl-PL"/>
                <w14:ligatures w14:val="none"/>
              </w:rPr>
              <w:t xml:space="preserve">jest </w:t>
            </w:r>
            <w:r w:rsidRPr="00177F9E">
              <w:rPr>
                <w:rFonts w:ascii="Times New Roman" w:eastAsia="Times New Roman" w:hAnsi="Times New Roman" w:cs="Times New Roman"/>
                <w:kern w:val="0"/>
                <w:sz w:val="22"/>
                <w:szCs w:val="22"/>
                <w:lang w:eastAsia="pl-PL"/>
                <w14:ligatures w14:val="none"/>
              </w:rPr>
              <w:t>realizowana</w:t>
            </w:r>
            <w:r w:rsidR="00FB147B">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część zadań ustawowych, wynikająca z</w:t>
            </w:r>
            <w:r w:rsidR="001A5F78" w:rsidRPr="00352C51">
              <w:rPr>
                <w:rFonts w:ascii="Times New Roman" w:eastAsia="Times New Roman" w:hAnsi="Times New Roman" w:cs="Times New Roman"/>
                <w:kern w:val="0"/>
                <w:sz w:val="22"/>
                <w:szCs w:val="22"/>
                <w:lang w:eastAsia="pl-PL"/>
                <w14:ligatures w14:val="none"/>
              </w:rPr>
              <w:t> </w:t>
            </w:r>
            <w:r w:rsidRPr="00177F9E">
              <w:rPr>
                <w:rFonts w:ascii="Times New Roman" w:eastAsia="Times New Roman" w:hAnsi="Times New Roman" w:cs="Times New Roman"/>
                <w:kern w:val="0"/>
                <w:sz w:val="22"/>
                <w:szCs w:val="22"/>
                <w:lang w:eastAsia="pl-PL"/>
                <w14:ligatures w14:val="none"/>
              </w:rPr>
              <w:t>proponowanych zmian w projekcie ustawy, zostanie zrealizowana</w:t>
            </w:r>
            <w:r w:rsidR="00FB147B">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w</w:t>
            </w:r>
            <w:r w:rsidR="00FB147B">
              <w:rPr>
                <w:rFonts w:ascii="Times New Roman" w:eastAsia="Times New Roman" w:hAnsi="Times New Roman" w:cs="Times New Roman"/>
                <w:kern w:val="0"/>
                <w:sz w:val="22"/>
                <w:szCs w:val="22"/>
                <w:lang w:eastAsia="pl-PL"/>
                <w14:ligatures w14:val="none"/>
              </w:rPr>
              <w:t xml:space="preserve"> </w:t>
            </w:r>
            <w:r w:rsidRPr="00177F9E">
              <w:rPr>
                <w:rFonts w:ascii="Times New Roman" w:eastAsia="Times New Roman" w:hAnsi="Times New Roman" w:cs="Times New Roman"/>
                <w:kern w:val="0"/>
                <w:sz w:val="22"/>
                <w:szCs w:val="22"/>
                <w:lang w:eastAsia="pl-PL"/>
                <w14:ligatures w14:val="none"/>
              </w:rPr>
              <w:t>ramach podpisanej umowy na rozwój i utrzymanie systemu. Nie ma zatem konieczności zabezpieczenia dodatkowych środków finansowych w przedmiotowym zakresie</w:t>
            </w:r>
            <w:r w:rsidR="00FB147B">
              <w:rPr>
                <w:rFonts w:ascii="Times New Roman" w:eastAsia="Times New Roman" w:hAnsi="Times New Roman" w:cs="Times New Roman"/>
                <w:kern w:val="0"/>
                <w:sz w:val="22"/>
                <w:szCs w:val="22"/>
                <w:lang w:eastAsia="pl-PL"/>
                <w14:ligatures w14:val="none"/>
              </w:rPr>
              <w:t>,</w:t>
            </w:r>
            <w:r w:rsidRPr="00177F9E">
              <w:rPr>
                <w:rFonts w:ascii="Times New Roman" w:eastAsia="Times New Roman" w:hAnsi="Times New Roman" w:cs="Times New Roman"/>
                <w:kern w:val="0"/>
                <w:sz w:val="22"/>
                <w:szCs w:val="22"/>
                <w:lang w:eastAsia="pl-PL"/>
                <w14:ligatures w14:val="none"/>
              </w:rPr>
              <w:t xml:space="preserve"> tj. w zakresie ewentualnych modyfikacji systemu dla budżetu państwa w części 15 – Sądy powszechne i 37 – Sprawiedliwość.</w:t>
            </w:r>
          </w:p>
        </w:tc>
      </w:tr>
      <w:tr w:rsidR="00177F9E" w:rsidRPr="00177F9E" w14:paraId="7834F9EF" w14:textId="77777777" w:rsidTr="00A67F48">
        <w:trPr>
          <w:trHeight w:val="345"/>
          <w:jc w:val="center"/>
        </w:trPr>
        <w:tc>
          <w:tcPr>
            <w:tcW w:w="10916" w:type="dxa"/>
            <w:gridSpan w:val="22"/>
            <w:shd w:val="clear" w:color="auto" w:fill="99CCFF"/>
          </w:tcPr>
          <w:p w14:paraId="2FE17AE9" w14:textId="77777777" w:rsidR="00177F9E" w:rsidRPr="00177F9E" w:rsidRDefault="00177F9E" w:rsidP="00700BF2">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lastRenderedPageBreak/>
              <w:t xml:space="preserve">7. Wpływ na konkurencyjność gospodarki i przedsiębiorczość, w tym funkcjonowanie przedsiębiorców oraz na rodzinę, obywateli i gospodarstwa domowe </w:t>
            </w:r>
          </w:p>
        </w:tc>
      </w:tr>
      <w:tr w:rsidR="00177F9E" w:rsidRPr="00177F9E" w14:paraId="7CD527F6" w14:textId="77777777" w:rsidTr="00A67F48">
        <w:trPr>
          <w:trHeight w:val="142"/>
          <w:jc w:val="center"/>
        </w:trPr>
        <w:tc>
          <w:tcPr>
            <w:tcW w:w="10916" w:type="dxa"/>
            <w:gridSpan w:val="22"/>
            <w:shd w:val="clear" w:color="auto" w:fill="FFFFFF"/>
          </w:tcPr>
          <w:p w14:paraId="236535FE"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Skutki</w:t>
            </w:r>
          </w:p>
        </w:tc>
      </w:tr>
      <w:tr w:rsidR="00177F9E" w:rsidRPr="00177F9E" w14:paraId="76BD0DDE" w14:textId="77777777" w:rsidTr="00062891">
        <w:trPr>
          <w:trHeight w:val="142"/>
          <w:jc w:val="center"/>
        </w:trPr>
        <w:tc>
          <w:tcPr>
            <w:tcW w:w="4390" w:type="dxa"/>
            <w:gridSpan w:val="5"/>
            <w:shd w:val="clear" w:color="auto" w:fill="FFFFFF"/>
          </w:tcPr>
          <w:p w14:paraId="186B0EA4"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Czas w latach od wejścia w życie zmian</w:t>
            </w:r>
          </w:p>
        </w:tc>
        <w:tc>
          <w:tcPr>
            <w:tcW w:w="850" w:type="dxa"/>
            <w:gridSpan w:val="2"/>
            <w:tcBorders>
              <w:bottom w:val="single" w:sz="4" w:space="0" w:color="auto"/>
            </w:tcBorders>
            <w:shd w:val="clear" w:color="auto" w:fill="FFFFFF"/>
          </w:tcPr>
          <w:p w14:paraId="5E1D703C"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0</w:t>
            </w:r>
          </w:p>
        </w:tc>
        <w:tc>
          <w:tcPr>
            <w:tcW w:w="849" w:type="dxa"/>
            <w:gridSpan w:val="3"/>
            <w:shd w:val="clear" w:color="auto" w:fill="FFFFFF"/>
          </w:tcPr>
          <w:p w14:paraId="2A6792A7"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1</w:t>
            </w:r>
          </w:p>
        </w:tc>
        <w:tc>
          <w:tcPr>
            <w:tcW w:w="849" w:type="dxa"/>
            <w:gridSpan w:val="2"/>
            <w:shd w:val="clear" w:color="auto" w:fill="FFFFFF"/>
          </w:tcPr>
          <w:p w14:paraId="6271D6E0"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2</w:t>
            </w:r>
          </w:p>
        </w:tc>
        <w:tc>
          <w:tcPr>
            <w:tcW w:w="849" w:type="dxa"/>
            <w:gridSpan w:val="4"/>
            <w:shd w:val="clear" w:color="auto" w:fill="FFFFFF"/>
          </w:tcPr>
          <w:p w14:paraId="444D30C8"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3</w:t>
            </w:r>
          </w:p>
        </w:tc>
        <w:tc>
          <w:tcPr>
            <w:tcW w:w="850" w:type="dxa"/>
            <w:gridSpan w:val="2"/>
            <w:shd w:val="clear" w:color="auto" w:fill="FFFFFF"/>
          </w:tcPr>
          <w:p w14:paraId="60554797"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5</w:t>
            </w:r>
          </w:p>
        </w:tc>
        <w:tc>
          <w:tcPr>
            <w:tcW w:w="849" w:type="dxa"/>
            <w:gridSpan w:val="2"/>
            <w:shd w:val="clear" w:color="auto" w:fill="FFFFFF"/>
          </w:tcPr>
          <w:p w14:paraId="42A84B04"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10</w:t>
            </w:r>
          </w:p>
        </w:tc>
        <w:tc>
          <w:tcPr>
            <w:tcW w:w="1430" w:type="dxa"/>
            <w:gridSpan w:val="2"/>
            <w:shd w:val="clear" w:color="auto" w:fill="FFFFFF"/>
          </w:tcPr>
          <w:p w14:paraId="4D52A627"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Łącznie</w:t>
            </w:r>
            <w:r w:rsidRPr="00177F9E" w:rsidDel="0073273A">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(0-10)</w:t>
            </w:r>
          </w:p>
        </w:tc>
      </w:tr>
      <w:tr w:rsidR="00177F9E" w:rsidRPr="00177F9E" w14:paraId="3ACA92C9" w14:textId="77777777" w:rsidTr="00A67F48">
        <w:trPr>
          <w:trHeight w:val="142"/>
          <w:jc w:val="center"/>
        </w:trPr>
        <w:tc>
          <w:tcPr>
            <w:tcW w:w="2266" w:type="dxa"/>
            <w:vMerge w:val="restart"/>
            <w:shd w:val="clear" w:color="auto" w:fill="FFFFFF"/>
          </w:tcPr>
          <w:p w14:paraId="4DC9E679"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 ujęciu pieniężnym</w:t>
            </w:r>
          </w:p>
          <w:p w14:paraId="559B8E4A"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xml:space="preserve">(w mln zł, </w:t>
            </w:r>
          </w:p>
          <w:p w14:paraId="4BAEA105"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ceny stałe z 2024 r.)</w:t>
            </w:r>
          </w:p>
        </w:tc>
        <w:tc>
          <w:tcPr>
            <w:tcW w:w="2124" w:type="dxa"/>
            <w:gridSpan w:val="4"/>
            <w:shd w:val="clear" w:color="auto" w:fill="FFFFFF"/>
          </w:tcPr>
          <w:p w14:paraId="05642B7D"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duże przedsiębiorstwa</w:t>
            </w:r>
          </w:p>
        </w:tc>
        <w:tc>
          <w:tcPr>
            <w:tcW w:w="850" w:type="dxa"/>
            <w:gridSpan w:val="2"/>
            <w:vMerge w:val="restart"/>
            <w:shd w:val="clear" w:color="auto" w:fill="FFFFFF"/>
            <w:vAlign w:val="center"/>
          </w:tcPr>
          <w:p w14:paraId="6EE518BF"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3"/>
            <w:vMerge w:val="restart"/>
            <w:shd w:val="clear" w:color="auto" w:fill="FFFFFF"/>
            <w:vAlign w:val="center"/>
          </w:tcPr>
          <w:p w14:paraId="65F35C62"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vMerge w:val="restart"/>
            <w:shd w:val="clear" w:color="auto" w:fill="FFFFFF"/>
            <w:vAlign w:val="center"/>
          </w:tcPr>
          <w:p w14:paraId="442C0553"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4"/>
            <w:vMerge w:val="restart"/>
            <w:shd w:val="clear" w:color="auto" w:fill="FFFFFF"/>
            <w:vAlign w:val="center"/>
          </w:tcPr>
          <w:p w14:paraId="67D5264E"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50" w:type="dxa"/>
            <w:gridSpan w:val="2"/>
            <w:vMerge w:val="restart"/>
            <w:shd w:val="clear" w:color="auto" w:fill="FFFFFF"/>
            <w:vAlign w:val="center"/>
          </w:tcPr>
          <w:p w14:paraId="772B606A"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vMerge w:val="restart"/>
            <w:shd w:val="clear" w:color="auto" w:fill="FFFFFF"/>
            <w:vAlign w:val="center"/>
          </w:tcPr>
          <w:p w14:paraId="561EB9CB"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1430" w:type="dxa"/>
            <w:gridSpan w:val="2"/>
            <w:vMerge w:val="restart"/>
            <w:shd w:val="clear" w:color="auto" w:fill="FFFFFF"/>
            <w:vAlign w:val="center"/>
          </w:tcPr>
          <w:p w14:paraId="73CA812D"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r>
      <w:tr w:rsidR="00177F9E" w:rsidRPr="00177F9E" w14:paraId="011D4702" w14:textId="77777777" w:rsidTr="00083FBA">
        <w:trPr>
          <w:trHeight w:val="142"/>
          <w:jc w:val="center"/>
        </w:trPr>
        <w:tc>
          <w:tcPr>
            <w:tcW w:w="2266" w:type="dxa"/>
            <w:vMerge/>
            <w:shd w:val="clear" w:color="auto" w:fill="FFFFFF"/>
          </w:tcPr>
          <w:p w14:paraId="086DF12E"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2124" w:type="dxa"/>
            <w:gridSpan w:val="4"/>
            <w:shd w:val="clear" w:color="auto" w:fill="FFFFFF"/>
          </w:tcPr>
          <w:p w14:paraId="7CCA221C"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sektor mikro-, małych i średnich przedsiębiorstw</w:t>
            </w:r>
          </w:p>
        </w:tc>
        <w:tc>
          <w:tcPr>
            <w:tcW w:w="850" w:type="dxa"/>
            <w:gridSpan w:val="2"/>
            <w:vMerge/>
            <w:tcBorders>
              <w:top w:val="nil"/>
              <w:bottom w:val="single" w:sz="4" w:space="0" w:color="auto"/>
            </w:tcBorders>
            <w:shd w:val="clear" w:color="auto" w:fill="FFFFFF"/>
          </w:tcPr>
          <w:p w14:paraId="718B9969"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3"/>
            <w:vMerge/>
            <w:tcBorders>
              <w:bottom w:val="single" w:sz="4" w:space="0" w:color="auto"/>
            </w:tcBorders>
            <w:shd w:val="clear" w:color="auto" w:fill="FFFFFF"/>
          </w:tcPr>
          <w:p w14:paraId="13893A1F"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vMerge/>
            <w:tcBorders>
              <w:bottom w:val="single" w:sz="4" w:space="0" w:color="auto"/>
            </w:tcBorders>
            <w:shd w:val="clear" w:color="auto" w:fill="FFFFFF"/>
          </w:tcPr>
          <w:p w14:paraId="12877D2C"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4"/>
            <w:vMerge/>
            <w:tcBorders>
              <w:bottom w:val="single" w:sz="4" w:space="0" w:color="auto"/>
            </w:tcBorders>
            <w:shd w:val="clear" w:color="auto" w:fill="FFFFFF"/>
          </w:tcPr>
          <w:p w14:paraId="72D9C684"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50" w:type="dxa"/>
            <w:gridSpan w:val="2"/>
            <w:vMerge/>
            <w:tcBorders>
              <w:bottom w:val="single" w:sz="4" w:space="0" w:color="auto"/>
            </w:tcBorders>
            <w:shd w:val="clear" w:color="auto" w:fill="FFFFFF"/>
          </w:tcPr>
          <w:p w14:paraId="27A1A560"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vMerge/>
            <w:tcBorders>
              <w:bottom w:val="single" w:sz="4" w:space="0" w:color="auto"/>
            </w:tcBorders>
            <w:shd w:val="clear" w:color="auto" w:fill="FFFFFF"/>
          </w:tcPr>
          <w:p w14:paraId="7F520B3E"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1430" w:type="dxa"/>
            <w:gridSpan w:val="2"/>
            <w:vMerge/>
            <w:tcBorders>
              <w:bottom w:val="single" w:sz="4" w:space="0" w:color="auto"/>
            </w:tcBorders>
            <w:shd w:val="clear" w:color="auto" w:fill="FFFFFF"/>
          </w:tcPr>
          <w:p w14:paraId="098652A5"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r>
      <w:tr w:rsidR="00177F9E" w:rsidRPr="00177F9E" w14:paraId="2E70E1A4" w14:textId="77777777" w:rsidTr="00083FBA">
        <w:trPr>
          <w:trHeight w:val="142"/>
          <w:jc w:val="center"/>
        </w:trPr>
        <w:tc>
          <w:tcPr>
            <w:tcW w:w="2266" w:type="dxa"/>
            <w:vMerge/>
            <w:shd w:val="clear" w:color="auto" w:fill="FFFFFF"/>
          </w:tcPr>
          <w:p w14:paraId="5B39BAA4"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2124" w:type="dxa"/>
            <w:gridSpan w:val="4"/>
            <w:shd w:val="clear" w:color="auto" w:fill="FFFFFF"/>
          </w:tcPr>
          <w:p w14:paraId="50BA1825"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rodzina, obywatele oraz gospodarstwa domowe, w szczególności osoby niepełnosprawne i starsze</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14:paraId="0E3D1E55"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C16304"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007CDF"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C370D9"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CCF5CC"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E5918"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c>
          <w:tcPr>
            <w:tcW w:w="14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CBA38"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p>
        </w:tc>
      </w:tr>
      <w:tr w:rsidR="00177F9E" w:rsidRPr="00177F9E" w14:paraId="7BF5330B" w14:textId="77777777" w:rsidTr="00A67F48">
        <w:trPr>
          <w:trHeight w:val="142"/>
          <w:jc w:val="center"/>
        </w:trPr>
        <w:tc>
          <w:tcPr>
            <w:tcW w:w="2266" w:type="dxa"/>
            <w:vMerge w:val="restart"/>
            <w:shd w:val="clear" w:color="auto" w:fill="FFFFFF"/>
          </w:tcPr>
          <w:p w14:paraId="3B8D2E9D"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 ujęciu niepieniężnym</w:t>
            </w:r>
          </w:p>
        </w:tc>
        <w:tc>
          <w:tcPr>
            <w:tcW w:w="2124" w:type="dxa"/>
            <w:gridSpan w:val="4"/>
            <w:shd w:val="clear" w:color="auto" w:fill="FFFFFF"/>
          </w:tcPr>
          <w:p w14:paraId="3242154D"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duże przedsiębiorstwa</w:t>
            </w:r>
          </w:p>
        </w:tc>
        <w:tc>
          <w:tcPr>
            <w:tcW w:w="6526" w:type="dxa"/>
            <w:gridSpan w:val="17"/>
            <w:tcBorders>
              <w:top w:val="single" w:sz="4" w:space="0" w:color="auto"/>
            </w:tcBorders>
            <w:shd w:val="clear" w:color="auto" w:fill="FFFFFF"/>
          </w:tcPr>
          <w:p w14:paraId="2C3803C4" w14:textId="4FBA189B"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Brak wpływu.</w:t>
            </w:r>
          </w:p>
        </w:tc>
      </w:tr>
      <w:tr w:rsidR="00177F9E" w:rsidRPr="00177F9E" w14:paraId="7ECFEAC4" w14:textId="77777777" w:rsidTr="00A67F48">
        <w:trPr>
          <w:trHeight w:val="142"/>
          <w:jc w:val="center"/>
        </w:trPr>
        <w:tc>
          <w:tcPr>
            <w:tcW w:w="2266" w:type="dxa"/>
            <w:vMerge/>
            <w:shd w:val="clear" w:color="auto" w:fill="FFFFFF"/>
          </w:tcPr>
          <w:p w14:paraId="08B419B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2124" w:type="dxa"/>
            <w:gridSpan w:val="4"/>
            <w:shd w:val="clear" w:color="auto" w:fill="FFFFFF"/>
          </w:tcPr>
          <w:p w14:paraId="004B70E7"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sektor mikro-, małych i średnich przedsiębiorstw</w:t>
            </w:r>
          </w:p>
        </w:tc>
        <w:tc>
          <w:tcPr>
            <w:tcW w:w="6526" w:type="dxa"/>
            <w:gridSpan w:val="17"/>
            <w:shd w:val="clear" w:color="auto" w:fill="FFFFFF"/>
          </w:tcPr>
          <w:p w14:paraId="69370536" w14:textId="2FF95207" w:rsidR="00177F9E" w:rsidRPr="00615DAB"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615DAB">
              <w:rPr>
                <w:rFonts w:ascii="Times New Roman" w:eastAsia="Times New Roman" w:hAnsi="Times New Roman" w:cs="Arial"/>
                <w:kern w:val="0"/>
                <w:sz w:val="22"/>
                <w:szCs w:val="22"/>
                <w:lang w:eastAsia="pl-PL"/>
                <w14:ligatures w14:val="none"/>
              </w:rPr>
              <w:t>Przedmiotowy projekt nie określa zasad podejmowania, wykonywania lub zakończenia działalności gospodarczej, w związku z czym odstąpiono od analiz i oceny przewidywanych skutków społeczno-gospodarczych, wskazanych w art. 66 ust. 1 ustawy z dnia 6 marca 2018</w:t>
            </w:r>
            <w:r w:rsidR="00615DAB">
              <w:rPr>
                <w:rFonts w:ascii="Times New Roman" w:eastAsia="Times New Roman" w:hAnsi="Times New Roman" w:cs="Arial"/>
                <w:kern w:val="0"/>
                <w:sz w:val="22"/>
                <w:szCs w:val="22"/>
                <w:lang w:eastAsia="pl-PL"/>
                <w14:ligatures w14:val="none"/>
              </w:rPr>
              <w:t> </w:t>
            </w:r>
            <w:r w:rsidRPr="00615DAB">
              <w:rPr>
                <w:rFonts w:ascii="Times New Roman" w:eastAsia="Times New Roman" w:hAnsi="Times New Roman" w:cs="Arial"/>
                <w:kern w:val="0"/>
                <w:sz w:val="22"/>
                <w:szCs w:val="22"/>
                <w:lang w:eastAsia="pl-PL"/>
                <w14:ligatures w14:val="none"/>
              </w:rPr>
              <w:t>r. – Prawo przedsiębiorców (Dz. U. z 2024 r. poz. 236</w:t>
            </w:r>
            <w:r w:rsidR="007D207C">
              <w:rPr>
                <w:rFonts w:ascii="Times New Roman" w:eastAsia="Times New Roman" w:hAnsi="Times New Roman" w:cs="Arial"/>
                <w:kern w:val="0"/>
                <w:sz w:val="22"/>
                <w:szCs w:val="22"/>
                <w:lang w:eastAsia="pl-PL"/>
                <w14:ligatures w14:val="none"/>
              </w:rPr>
              <w:t>,</w:t>
            </w:r>
            <w:r w:rsidRPr="00615DAB">
              <w:rPr>
                <w:rFonts w:ascii="Times New Roman" w:eastAsia="Times New Roman" w:hAnsi="Times New Roman" w:cs="Arial"/>
                <w:kern w:val="0"/>
                <w:sz w:val="22"/>
                <w:szCs w:val="22"/>
                <w:lang w:eastAsia="pl-PL"/>
                <w14:ligatures w14:val="none"/>
              </w:rPr>
              <w:t xml:space="preserve"> 1222</w:t>
            </w:r>
            <w:r w:rsidR="007D207C">
              <w:rPr>
                <w:rFonts w:ascii="Times New Roman" w:eastAsia="Times New Roman" w:hAnsi="Times New Roman" w:cs="Arial"/>
                <w:kern w:val="0"/>
                <w:sz w:val="22"/>
                <w:szCs w:val="22"/>
                <w:lang w:eastAsia="pl-PL"/>
                <w14:ligatures w14:val="none"/>
              </w:rPr>
              <w:t xml:space="preserve"> i</w:t>
            </w:r>
            <w:r w:rsidR="00276989">
              <w:rPr>
                <w:rFonts w:ascii="Times New Roman" w:eastAsia="Times New Roman" w:hAnsi="Times New Roman" w:cs="Arial"/>
                <w:kern w:val="0"/>
                <w:sz w:val="22"/>
                <w:szCs w:val="22"/>
                <w:lang w:eastAsia="pl-PL"/>
                <w14:ligatures w14:val="none"/>
              </w:rPr>
              <w:t> </w:t>
            </w:r>
            <w:r w:rsidR="007D207C">
              <w:rPr>
                <w:rFonts w:ascii="Times New Roman" w:eastAsia="Times New Roman" w:hAnsi="Times New Roman" w:cs="Arial"/>
                <w:kern w:val="0"/>
                <w:sz w:val="22"/>
                <w:szCs w:val="22"/>
                <w:lang w:eastAsia="pl-PL"/>
                <w14:ligatures w14:val="none"/>
              </w:rPr>
              <w:t>1871</w:t>
            </w:r>
            <w:r w:rsidRPr="00615DAB">
              <w:rPr>
                <w:rFonts w:ascii="Times New Roman" w:eastAsia="Times New Roman" w:hAnsi="Times New Roman" w:cs="Arial"/>
                <w:kern w:val="0"/>
                <w:sz w:val="22"/>
                <w:szCs w:val="22"/>
                <w:lang w:eastAsia="pl-PL"/>
                <w14:ligatures w14:val="none"/>
              </w:rPr>
              <w:t>).</w:t>
            </w:r>
          </w:p>
        </w:tc>
      </w:tr>
      <w:tr w:rsidR="00177F9E" w:rsidRPr="00177F9E" w14:paraId="569109D5" w14:textId="77777777" w:rsidTr="00A67F48">
        <w:trPr>
          <w:trHeight w:val="596"/>
          <w:jc w:val="center"/>
        </w:trPr>
        <w:tc>
          <w:tcPr>
            <w:tcW w:w="2266" w:type="dxa"/>
            <w:vMerge/>
            <w:shd w:val="clear" w:color="auto" w:fill="FFFFFF"/>
          </w:tcPr>
          <w:p w14:paraId="096E5CF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c>
          <w:tcPr>
            <w:tcW w:w="2124" w:type="dxa"/>
            <w:gridSpan w:val="4"/>
            <w:shd w:val="clear" w:color="auto" w:fill="FFFFFF"/>
          </w:tcPr>
          <w:p w14:paraId="69F20C15" w14:textId="385D4AC2"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rodzina, obywatele oraz gospodarstwa domowe, w</w:t>
            </w:r>
            <w:r w:rsidR="00352C5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 xml:space="preserve">szczególności osoby </w:t>
            </w:r>
            <w:r w:rsidRPr="00177F9E">
              <w:rPr>
                <w:rFonts w:ascii="Times New Roman" w:eastAsia="Times New Roman" w:hAnsi="Times New Roman" w:cs="Arial"/>
                <w:kern w:val="0"/>
                <w:sz w:val="22"/>
                <w:szCs w:val="22"/>
                <w:lang w:eastAsia="pl-PL"/>
                <w14:ligatures w14:val="none"/>
              </w:rPr>
              <w:lastRenderedPageBreak/>
              <w:t>niepełnosprawne i</w:t>
            </w:r>
            <w:r w:rsidR="00352C5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starsze</w:t>
            </w:r>
          </w:p>
        </w:tc>
        <w:tc>
          <w:tcPr>
            <w:tcW w:w="6526" w:type="dxa"/>
            <w:gridSpan w:val="17"/>
            <w:shd w:val="clear" w:color="auto" w:fill="FFFFFF"/>
          </w:tcPr>
          <w:p w14:paraId="05C667FC"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Proponowane rozwiązania mają prowadzić do ułatwienia w dostępie beneficjentów do nieodpłatnej pomocy prawnej.</w:t>
            </w:r>
          </w:p>
          <w:p w14:paraId="278FE6AC" w14:textId="07EC7A3C"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Likwidacja obowiązku składania pisemnego oświadczenia o</w:t>
            </w:r>
            <w:r w:rsidR="00352C5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 xml:space="preserve">niemożności poniesienia kosztów odpłatnej pomocy prawnej przez osoby uprawnione pomoże w zniesieniu bariery psychicznej i poczucia </w:t>
            </w:r>
            <w:r w:rsidRPr="00177F9E">
              <w:rPr>
                <w:rFonts w:ascii="Times New Roman" w:eastAsia="Times New Roman" w:hAnsi="Times New Roman" w:cs="Arial"/>
                <w:kern w:val="0"/>
                <w:sz w:val="22"/>
                <w:szCs w:val="22"/>
                <w:lang w:eastAsia="pl-PL"/>
                <w14:ligatures w14:val="none"/>
              </w:rPr>
              <w:lastRenderedPageBreak/>
              <w:t>wstydu, która mogła pojawić się przy chęci skorzystania z pomocy.</w:t>
            </w:r>
          </w:p>
        </w:tc>
      </w:tr>
      <w:tr w:rsidR="00177F9E" w:rsidRPr="00177F9E" w14:paraId="5664D0C2" w14:textId="77777777" w:rsidTr="00A67F48">
        <w:trPr>
          <w:trHeight w:val="550"/>
          <w:jc w:val="center"/>
        </w:trPr>
        <w:tc>
          <w:tcPr>
            <w:tcW w:w="2266" w:type="dxa"/>
            <w:shd w:val="clear" w:color="auto" w:fill="FFFFFF"/>
          </w:tcPr>
          <w:p w14:paraId="153316CF"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lastRenderedPageBreak/>
              <w:t>Niemierzalne</w:t>
            </w:r>
          </w:p>
        </w:tc>
        <w:tc>
          <w:tcPr>
            <w:tcW w:w="2124" w:type="dxa"/>
            <w:gridSpan w:val="4"/>
            <w:shd w:val="clear" w:color="auto" w:fill="FFFFFF"/>
          </w:tcPr>
          <w:p w14:paraId="63FEC249" w14:textId="4D3383BC"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rodzina, obywatele oraz gospodarstwa domowe, w</w:t>
            </w:r>
            <w:r w:rsidR="00352C5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szczególności osoby niepełnosprawne i</w:t>
            </w:r>
            <w:r w:rsidR="00352C51">
              <w:rPr>
                <w:rFonts w:ascii="Times New Roman" w:eastAsia="Times New Roman" w:hAnsi="Times New Roman" w:cs="Arial"/>
                <w:kern w:val="0"/>
                <w:sz w:val="22"/>
                <w:szCs w:val="22"/>
                <w:lang w:eastAsia="pl-PL"/>
                <w14:ligatures w14:val="none"/>
              </w:rPr>
              <w:t> </w:t>
            </w:r>
            <w:r w:rsidRPr="00177F9E">
              <w:rPr>
                <w:rFonts w:ascii="Times New Roman" w:eastAsia="Times New Roman" w:hAnsi="Times New Roman" w:cs="Arial"/>
                <w:kern w:val="0"/>
                <w:sz w:val="22"/>
                <w:szCs w:val="22"/>
                <w:lang w:eastAsia="pl-PL"/>
                <w14:ligatures w14:val="none"/>
              </w:rPr>
              <w:t>starsze</w:t>
            </w:r>
          </w:p>
        </w:tc>
        <w:tc>
          <w:tcPr>
            <w:tcW w:w="6526" w:type="dxa"/>
            <w:gridSpan w:val="17"/>
            <w:shd w:val="clear" w:color="auto" w:fill="FFFFFF"/>
          </w:tcPr>
          <w:p w14:paraId="3F706879"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Brak wpływu.</w:t>
            </w:r>
          </w:p>
        </w:tc>
      </w:tr>
      <w:tr w:rsidR="00177F9E" w:rsidRPr="00177F9E" w14:paraId="6AD2A1D0" w14:textId="77777777" w:rsidTr="007333C7">
        <w:trPr>
          <w:trHeight w:val="142"/>
          <w:jc w:val="center"/>
        </w:trPr>
        <w:tc>
          <w:tcPr>
            <w:tcW w:w="2266" w:type="dxa"/>
            <w:shd w:val="clear" w:color="auto" w:fill="FFFFFF"/>
          </w:tcPr>
          <w:p w14:paraId="74A98468" w14:textId="2BDC4A3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Dodatkowe</w:t>
            </w:r>
            <w:r w:rsidR="003377ED">
              <w:rPr>
                <w:rFonts w:ascii="Times New Roman" w:eastAsia="Times New Roman" w:hAnsi="Times New Roman" w:cs="Arial"/>
                <w:kern w:val="0"/>
                <w:sz w:val="22"/>
                <w:szCs w:val="22"/>
                <w:lang w:eastAsia="pl-PL"/>
                <w14:ligatures w14:val="none"/>
              </w:rPr>
              <w:t xml:space="preserve"> </w:t>
            </w:r>
            <w:r w:rsidRPr="00177F9E">
              <w:rPr>
                <w:rFonts w:ascii="Times New Roman" w:eastAsia="Times New Roman" w:hAnsi="Times New Roman" w:cs="Arial"/>
                <w:kern w:val="0"/>
                <w:sz w:val="22"/>
                <w:szCs w:val="22"/>
                <w:lang w:eastAsia="pl-PL"/>
                <w14:ligatures w14:val="none"/>
              </w:rPr>
              <w:t xml:space="preserve">informacje, w tym wskazanie źródeł danych i przyjętych do obliczeń założeń </w:t>
            </w:r>
          </w:p>
        </w:tc>
        <w:tc>
          <w:tcPr>
            <w:tcW w:w="8650" w:type="dxa"/>
            <w:gridSpan w:val="21"/>
            <w:shd w:val="clear" w:color="auto" w:fill="FFFFFF"/>
            <w:vAlign w:val="center"/>
          </w:tcPr>
          <w:p w14:paraId="26497322"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Wejście w życie ustawy nie będzie miało negatywnego wpływu na konkurencyjność gospodarki i przedsiębiorczość, w tym na funkcjonowanie przedsiębiorstw, jak również nie będzie miało negatywnego wpływu na sytuację i rozwój regionalny.</w:t>
            </w:r>
          </w:p>
        </w:tc>
      </w:tr>
      <w:tr w:rsidR="00177F9E" w:rsidRPr="00177F9E" w14:paraId="02BF139D" w14:textId="77777777" w:rsidTr="00A67F48">
        <w:trPr>
          <w:trHeight w:val="342"/>
          <w:jc w:val="center"/>
        </w:trPr>
        <w:tc>
          <w:tcPr>
            <w:tcW w:w="10916" w:type="dxa"/>
            <w:gridSpan w:val="22"/>
            <w:shd w:val="clear" w:color="auto" w:fill="99CCFF"/>
            <w:vAlign w:val="center"/>
          </w:tcPr>
          <w:p w14:paraId="2D9686D3"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 xml:space="preserve"> 8. Zmiana obciążeń regulacyjnych (w tym obowiązków informacyjnych) wynikających z projektu</w:t>
            </w:r>
          </w:p>
        </w:tc>
      </w:tr>
      <w:tr w:rsidR="00177F9E" w:rsidRPr="00177F9E" w14:paraId="3E068F5C" w14:textId="77777777" w:rsidTr="00A67F48">
        <w:trPr>
          <w:trHeight w:val="151"/>
          <w:jc w:val="center"/>
        </w:trPr>
        <w:tc>
          <w:tcPr>
            <w:tcW w:w="10916" w:type="dxa"/>
            <w:gridSpan w:val="22"/>
            <w:shd w:val="clear" w:color="auto" w:fill="FFFFFF"/>
          </w:tcPr>
          <w:p w14:paraId="77602208"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Cs w:val="20"/>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Cs w:val="20"/>
                <w:lang w:eastAsia="pl-PL"/>
                <w14:ligatures w14:val="none"/>
              </w:rPr>
              <w:instrText xml:space="preserve"> FORMCHECKBOX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fldChar w:fldCharType="end"/>
            </w:r>
            <w:r w:rsidRPr="00177F9E">
              <w:rPr>
                <w:rFonts w:ascii="Times New Roman" w:eastAsia="Times New Roman" w:hAnsi="Times New Roman" w:cs="Arial"/>
                <w:kern w:val="0"/>
                <w:szCs w:val="20"/>
                <w:lang w:eastAsia="pl-PL"/>
                <w14:ligatures w14:val="none"/>
              </w:rPr>
              <w:t xml:space="preserve"> </w:t>
            </w:r>
            <w:r w:rsidRPr="00177F9E">
              <w:rPr>
                <w:rFonts w:ascii="Times New Roman" w:eastAsia="Times New Roman" w:hAnsi="Times New Roman" w:cs="Arial"/>
                <w:kern w:val="0"/>
                <w:sz w:val="22"/>
                <w:szCs w:val="22"/>
                <w:lang w:eastAsia="pl-PL"/>
                <w14:ligatures w14:val="none"/>
              </w:rPr>
              <w:t>nie dotyczy</w:t>
            </w:r>
          </w:p>
        </w:tc>
      </w:tr>
      <w:tr w:rsidR="00177F9E" w:rsidRPr="00177F9E" w14:paraId="0CF34568" w14:textId="77777777" w:rsidTr="00A67F48">
        <w:trPr>
          <w:trHeight w:val="946"/>
          <w:jc w:val="center"/>
        </w:trPr>
        <w:tc>
          <w:tcPr>
            <w:tcW w:w="6513" w:type="dxa"/>
            <w:gridSpan w:val="11"/>
            <w:shd w:val="clear" w:color="auto" w:fill="FFFFFF"/>
            <w:vAlign w:val="center"/>
          </w:tcPr>
          <w:p w14:paraId="1CB68FF8"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Wprowadzane są obciążenia poza bezwzględnie wymaganymi przez UE (szczegóły w odwróconej tabeli zgodności).</w:t>
            </w:r>
          </w:p>
        </w:tc>
        <w:tc>
          <w:tcPr>
            <w:tcW w:w="4403" w:type="dxa"/>
            <w:gridSpan w:val="11"/>
            <w:shd w:val="clear" w:color="auto" w:fill="FFFFFF"/>
            <w:vAlign w:val="center"/>
          </w:tcPr>
          <w:p w14:paraId="22BDE4E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Cs w:val="20"/>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Cs w:val="20"/>
                <w:lang w:eastAsia="pl-PL"/>
                <w14:ligatures w14:val="none"/>
              </w:rPr>
              <w:instrText xml:space="preserve"> FORMCHECKBOX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fldChar w:fldCharType="end"/>
            </w:r>
            <w:r w:rsidRPr="00177F9E">
              <w:rPr>
                <w:rFonts w:ascii="Times New Roman" w:eastAsia="Times New Roman" w:hAnsi="Times New Roman" w:cs="Arial"/>
                <w:kern w:val="0"/>
                <w:szCs w:val="20"/>
                <w:lang w:eastAsia="pl-PL"/>
                <w14:ligatures w14:val="none"/>
              </w:rPr>
              <w:t xml:space="preserve"> </w:t>
            </w:r>
            <w:r w:rsidRPr="00177F9E">
              <w:rPr>
                <w:rFonts w:ascii="Times New Roman" w:eastAsia="Times New Roman" w:hAnsi="Times New Roman" w:cs="Arial"/>
                <w:kern w:val="0"/>
                <w:sz w:val="22"/>
                <w:szCs w:val="22"/>
                <w:lang w:eastAsia="pl-PL"/>
                <w14:ligatures w14:val="none"/>
              </w:rPr>
              <w:t>tak</w:t>
            </w:r>
          </w:p>
          <w:p w14:paraId="6A023FA9"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Cs w:val="20"/>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Cs w:val="20"/>
                <w:lang w:eastAsia="pl-PL"/>
                <w14:ligatures w14:val="none"/>
              </w:rPr>
              <w:instrText xml:space="preserve"> FORMCHECKBOX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fldChar w:fldCharType="end"/>
            </w:r>
            <w:r w:rsidRPr="00177F9E">
              <w:rPr>
                <w:rFonts w:ascii="Times New Roman" w:eastAsia="Times New Roman" w:hAnsi="Times New Roman" w:cs="Arial"/>
                <w:kern w:val="0"/>
                <w:szCs w:val="20"/>
                <w:lang w:eastAsia="pl-PL"/>
                <w14:ligatures w14:val="none"/>
              </w:rPr>
              <w:t xml:space="preserve"> </w:t>
            </w:r>
            <w:r w:rsidRPr="00177F9E">
              <w:rPr>
                <w:rFonts w:ascii="Times New Roman" w:eastAsia="Times New Roman" w:hAnsi="Times New Roman" w:cs="Arial"/>
                <w:kern w:val="0"/>
                <w:sz w:val="22"/>
                <w:szCs w:val="22"/>
                <w:lang w:eastAsia="pl-PL"/>
                <w14:ligatures w14:val="none"/>
              </w:rPr>
              <w:t>nie</w:t>
            </w:r>
          </w:p>
          <w:p w14:paraId="735131E0"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Cs w:val="20"/>
                <w:lang w:eastAsia="pl-PL"/>
                <w14:ligatures w14:val="none"/>
              </w:rPr>
              <w:fldChar w:fldCharType="begin">
                <w:ffData>
                  <w:name w:val=""/>
                  <w:enabled/>
                  <w:calcOnExit w:val="0"/>
                  <w:checkBox>
                    <w:sizeAuto/>
                    <w:default w:val="1"/>
                  </w:checkBox>
                </w:ffData>
              </w:fldChar>
            </w:r>
            <w:r w:rsidRPr="00177F9E">
              <w:rPr>
                <w:rFonts w:ascii="Times New Roman" w:eastAsia="Times New Roman" w:hAnsi="Times New Roman" w:cs="Arial"/>
                <w:kern w:val="0"/>
                <w:szCs w:val="20"/>
                <w:lang w:eastAsia="pl-PL"/>
                <w14:ligatures w14:val="none"/>
              </w:rPr>
              <w:instrText xml:space="preserve"> FORMCHECKBOX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fldChar w:fldCharType="end"/>
            </w:r>
            <w:r w:rsidRPr="00177F9E">
              <w:rPr>
                <w:rFonts w:ascii="Times New Roman" w:eastAsia="Times New Roman" w:hAnsi="Times New Roman" w:cs="Arial"/>
                <w:kern w:val="0"/>
                <w:szCs w:val="20"/>
                <w:lang w:eastAsia="pl-PL"/>
                <w14:ligatures w14:val="none"/>
              </w:rPr>
              <w:t xml:space="preserve"> nie </w:t>
            </w:r>
            <w:r w:rsidRPr="00177F9E">
              <w:rPr>
                <w:rFonts w:ascii="Times New Roman" w:eastAsia="Times New Roman" w:hAnsi="Times New Roman" w:cs="Arial"/>
                <w:kern w:val="0"/>
                <w:sz w:val="22"/>
                <w:szCs w:val="22"/>
                <w:lang w:eastAsia="pl-PL"/>
                <w14:ligatures w14:val="none"/>
              </w:rPr>
              <w:t>dotyczy</w:t>
            </w:r>
          </w:p>
        </w:tc>
      </w:tr>
      <w:tr w:rsidR="00177F9E" w:rsidRPr="00177F9E" w14:paraId="73C4D97A" w14:textId="77777777" w:rsidTr="00A67F48">
        <w:trPr>
          <w:trHeight w:val="1245"/>
          <w:jc w:val="center"/>
        </w:trPr>
        <w:tc>
          <w:tcPr>
            <w:tcW w:w="6513" w:type="dxa"/>
            <w:gridSpan w:val="11"/>
            <w:shd w:val="clear" w:color="auto" w:fill="FFFFFF"/>
            <w:vAlign w:val="center"/>
          </w:tcPr>
          <w:p w14:paraId="6BBA50F7"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1"/>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zmniejszenie liczby dokumentów </w:t>
            </w:r>
          </w:p>
          <w:p w14:paraId="65C0F7AF"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zmniejszenie liczby procedur</w:t>
            </w:r>
          </w:p>
          <w:p w14:paraId="36EADA67"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1"/>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skrócenie czasu na załatwienie sprawy</w:t>
            </w:r>
          </w:p>
          <w:p w14:paraId="6AC9757C"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Wybór1"/>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inne: </w:t>
            </w:r>
            <w:r w:rsidRPr="003377ED">
              <w:rPr>
                <w:rFonts w:ascii="Times New Roman" w:eastAsia="Times New Roman" w:hAnsi="Times New Roman" w:cs="Arial"/>
                <w:kern w:val="0"/>
                <w:sz w:val="22"/>
                <w:szCs w:val="22"/>
                <w:lang w:eastAsia="pl-PL"/>
                <w14:ligatures w14:val="none"/>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377ED">
              <w:rPr>
                <w:rFonts w:ascii="Times New Roman" w:eastAsia="Times New Roman" w:hAnsi="Times New Roman" w:cs="Arial"/>
                <w:kern w:val="0"/>
                <w:sz w:val="22"/>
                <w:szCs w:val="22"/>
                <w:lang w:eastAsia="pl-PL"/>
                <w14:ligatures w14:val="none"/>
              </w:rPr>
              <w:instrText xml:space="preserve"> FORMTEXT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fldChar w:fldCharType="end"/>
            </w:r>
          </w:p>
        </w:tc>
        <w:tc>
          <w:tcPr>
            <w:tcW w:w="4403" w:type="dxa"/>
            <w:gridSpan w:val="11"/>
            <w:shd w:val="clear" w:color="auto" w:fill="FFFFFF"/>
            <w:vAlign w:val="center"/>
          </w:tcPr>
          <w:p w14:paraId="4DAD0E9B"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zwiększenie liczby dokumentów</w:t>
            </w:r>
          </w:p>
          <w:p w14:paraId="03163431"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1"/>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zwiększenie liczby procedur</w:t>
            </w:r>
          </w:p>
          <w:p w14:paraId="05DCF427"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wydłużenie czasu na załatwienie sprawy</w:t>
            </w:r>
          </w:p>
          <w:p w14:paraId="088F201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Cs w:val="20"/>
                <w:lang w:eastAsia="pl-PL"/>
                <w14:ligatures w14:val="none"/>
              </w:rPr>
              <w:fldChar w:fldCharType="begin">
                <w:ffData>
                  <w:name w:val="Wybór1"/>
                  <w:enabled/>
                  <w:calcOnExit w:val="0"/>
                  <w:checkBox>
                    <w:sizeAuto/>
                    <w:default w:val="0"/>
                  </w:checkBox>
                </w:ffData>
              </w:fldChar>
            </w:r>
            <w:r w:rsidRPr="00177F9E">
              <w:rPr>
                <w:rFonts w:ascii="Times New Roman" w:eastAsia="Times New Roman" w:hAnsi="Times New Roman" w:cs="Arial"/>
                <w:kern w:val="0"/>
                <w:szCs w:val="20"/>
                <w:lang w:eastAsia="pl-PL"/>
                <w14:ligatures w14:val="none"/>
              </w:rPr>
              <w:instrText xml:space="preserve"> FORMCHECKBOX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fldChar w:fldCharType="end"/>
            </w:r>
            <w:r w:rsidRPr="00177F9E">
              <w:rPr>
                <w:rFonts w:ascii="Times New Roman" w:eastAsia="Times New Roman" w:hAnsi="Times New Roman" w:cs="Arial"/>
                <w:kern w:val="0"/>
                <w:szCs w:val="20"/>
                <w:lang w:eastAsia="pl-PL"/>
                <w14:ligatures w14:val="none"/>
              </w:rPr>
              <w:t xml:space="preserve"> </w:t>
            </w:r>
            <w:r w:rsidRPr="00177F9E">
              <w:rPr>
                <w:rFonts w:ascii="Times New Roman" w:eastAsia="Times New Roman" w:hAnsi="Times New Roman" w:cs="Arial"/>
                <w:kern w:val="0"/>
                <w:sz w:val="22"/>
                <w:szCs w:val="22"/>
                <w:lang w:eastAsia="pl-PL"/>
                <w14:ligatures w14:val="none"/>
              </w:rPr>
              <w:t>inne</w:t>
            </w:r>
            <w:r w:rsidRPr="00177F9E">
              <w:rPr>
                <w:rFonts w:ascii="Times New Roman" w:eastAsia="Times New Roman" w:hAnsi="Times New Roman" w:cs="Arial"/>
                <w:kern w:val="0"/>
                <w:szCs w:val="20"/>
                <w:lang w:eastAsia="pl-PL"/>
                <w14:ligatures w14:val="none"/>
              </w:rPr>
              <w:t xml:space="preserve">: </w:t>
            </w:r>
            <w:r w:rsidRPr="00177F9E">
              <w:rPr>
                <w:rFonts w:ascii="Times New Roman" w:eastAsia="Times New Roman" w:hAnsi="Times New Roman" w:cs="Arial"/>
                <w:kern w:val="0"/>
                <w:szCs w:val="20"/>
                <w:lang w:eastAsia="pl-PL"/>
                <w14:ligatures w14:val="none"/>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177F9E">
              <w:rPr>
                <w:rFonts w:ascii="Times New Roman" w:eastAsia="Times New Roman" w:hAnsi="Times New Roman" w:cs="Arial"/>
                <w:kern w:val="0"/>
                <w:szCs w:val="20"/>
                <w:lang w:eastAsia="pl-PL"/>
                <w14:ligatures w14:val="none"/>
              </w:rPr>
              <w:instrText xml:space="preserve"> FORMTEXT </w:instrText>
            </w:r>
            <w:r w:rsidRPr="00177F9E">
              <w:rPr>
                <w:rFonts w:ascii="Times New Roman" w:eastAsia="Times New Roman" w:hAnsi="Times New Roman" w:cs="Arial"/>
                <w:kern w:val="0"/>
                <w:szCs w:val="20"/>
                <w:lang w:eastAsia="pl-PL"/>
                <w14:ligatures w14:val="none"/>
              </w:rPr>
            </w:r>
            <w:r w:rsidRPr="00177F9E">
              <w:rPr>
                <w:rFonts w:ascii="Times New Roman" w:eastAsia="Times New Roman" w:hAnsi="Times New Roman" w:cs="Arial"/>
                <w:kern w:val="0"/>
                <w:szCs w:val="20"/>
                <w:lang w:eastAsia="pl-PL"/>
                <w14:ligatures w14:val="none"/>
              </w:rPr>
              <w:fldChar w:fldCharType="separate"/>
            </w:r>
            <w:r w:rsidRPr="00177F9E">
              <w:rPr>
                <w:rFonts w:ascii="Times New Roman" w:eastAsia="Times New Roman" w:hAnsi="Times New Roman" w:cs="Arial"/>
                <w:kern w:val="0"/>
                <w:szCs w:val="20"/>
                <w:lang w:eastAsia="pl-PL"/>
                <w14:ligatures w14:val="none"/>
              </w:rPr>
              <w:t> </w:t>
            </w:r>
            <w:r w:rsidRPr="00177F9E">
              <w:rPr>
                <w:rFonts w:ascii="Times New Roman" w:eastAsia="Times New Roman" w:hAnsi="Times New Roman" w:cs="Arial"/>
                <w:kern w:val="0"/>
                <w:szCs w:val="20"/>
                <w:lang w:eastAsia="pl-PL"/>
                <w14:ligatures w14:val="none"/>
              </w:rPr>
              <w:t> </w:t>
            </w:r>
            <w:r w:rsidRPr="00177F9E">
              <w:rPr>
                <w:rFonts w:ascii="Times New Roman" w:eastAsia="Times New Roman" w:hAnsi="Times New Roman" w:cs="Arial"/>
                <w:kern w:val="0"/>
                <w:szCs w:val="20"/>
                <w:lang w:eastAsia="pl-PL"/>
                <w14:ligatures w14:val="none"/>
              </w:rPr>
              <w:t> </w:t>
            </w:r>
            <w:r w:rsidRPr="00177F9E">
              <w:rPr>
                <w:rFonts w:ascii="Times New Roman" w:eastAsia="Times New Roman" w:hAnsi="Times New Roman" w:cs="Arial"/>
                <w:kern w:val="0"/>
                <w:szCs w:val="20"/>
                <w:lang w:eastAsia="pl-PL"/>
                <w14:ligatures w14:val="none"/>
              </w:rPr>
              <w:t> </w:t>
            </w:r>
            <w:r w:rsidRPr="00177F9E">
              <w:rPr>
                <w:rFonts w:ascii="Times New Roman" w:eastAsia="Times New Roman" w:hAnsi="Times New Roman" w:cs="Arial"/>
                <w:kern w:val="0"/>
                <w:szCs w:val="20"/>
                <w:lang w:eastAsia="pl-PL"/>
                <w14:ligatures w14:val="none"/>
              </w:rPr>
              <w:t> </w:t>
            </w:r>
            <w:r w:rsidRPr="00177F9E">
              <w:rPr>
                <w:rFonts w:ascii="Times New Roman" w:eastAsia="Times New Roman" w:hAnsi="Times New Roman" w:cs="Arial"/>
                <w:kern w:val="0"/>
                <w:szCs w:val="20"/>
                <w:lang w:eastAsia="pl-PL"/>
                <w14:ligatures w14:val="none"/>
              </w:rPr>
              <w:fldChar w:fldCharType="end"/>
            </w:r>
          </w:p>
          <w:p w14:paraId="75CDD08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Cs w:val="20"/>
                <w:lang w:eastAsia="pl-PL"/>
                <w14:ligatures w14:val="none"/>
              </w:rPr>
            </w:pPr>
          </w:p>
        </w:tc>
      </w:tr>
      <w:tr w:rsidR="00177F9E" w:rsidRPr="00177F9E" w14:paraId="35679AE7" w14:textId="77777777" w:rsidTr="00A67F48">
        <w:trPr>
          <w:trHeight w:val="870"/>
          <w:jc w:val="center"/>
        </w:trPr>
        <w:tc>
          <w:tcPr>
            <w:tcW w:w="6513" w:type="dxa"/>
            <w:gridSpan w:val="11"/>
            <w:shd w:val="clear" w:color="auto" w:fill="FFFFFF"/>
            <w:vAlign w:val="center"/>
          </w:tcPr>
          <w:p w14:paraId="61D816ED" w14:textId="77777777" w:rsidR="00177F9E" w:rsidRPr="003377ED"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t xml:space="preserve">Wprowadzane obciążenia są przystosowane do ich elektronizacji. </w:t>
            </w:r>
          </w:p>
        </w:tc>
        <w:tc>
          <w:tcPr>
            <w:tcW w:w="4403" w:type="dxa"/>
            <w:gridSpan w:val="11"/>
            <w:shd w:val="clear" w:color="auto" w:fill="FFFFFF"/>
            <w:vAlign w:val="center"/>
          </w:tcPr>
          <w:p w14:paraId="39F47ACF"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tak</w:t>
            </w:r>
          </w:p>
          <w:p w14:paraId="73182293"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Wybór1"/>
                  <w:enabled/>
                  <w:calcOnExit w:val="0"/>
                  <w:checkBox>
                    <w:sizeAuto/>
                    <w:default w:val="0"/>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nie</w:t>
            </w:r>
          </w:p>
          <w:p w14:paraId="7FF35743" w14:textId="77777777" w:rsidR="00177F9E" w:rsidRPr="003377ED"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1"/>
                  </w:checkBox>
                </w:ffData>
              </w:fldChar>
            </w:r>
            <w:r w:rsidRPr="003377ED">
              <w:rPr>
                <w:rFonts w:ascii="Times New Roman" w:eastAsia="Times New Roman" w:hAnsi="Times New Roman" w:cs="Arial"/>
                <w:kern w:val="0"/>
                <w:sz w:val="22"/>
                <w:szCs w:val="22"/>
                <w:lang w:eastAsia="pl-PL"/>
                <w14:ligatures w14:val="none"/>
              </w:rPr>
              <w:instrText xml:space="preserve"> FORMCHECKBOX </w:instrText>
            </w:r>
            <w:r w:rsidRPr="003377ED">
              <w:rPr>
                <w:rFonts w:ascii="Times New Roman" w:eastAsia="Times New Roman" w:hAnsi="Times New Roman" w:cs="Arial"/>
                <w:kern w:val="0"/>
                <w:sz w:val="22"/>
                <w:szCs w:val="22"/>
                <w:lang w:eastAsia="pl-PL"/>
                <w14:ligatures w14:val="none"/>
              </w:rPr>
            </w:r>
            <w:r w:rsidRPr="003377ED">
              <w:rPr>
                <w:rFonts w:ascii="Times New Roman" w:eastAsia="Times New Roman" w:hAnsi="Times New Roman" w:cs="Arial"/>
                <w:kern w:val="0"/>
                <w:sz w:val="22"/>
                <w:szCs w:val="22"/>
                <w:lang w:eastAsia="pl-PL"/>
                <w14:ligatures w14:val="none"/>
              </w:rPr>
              <w:fldChar w:fldCharType="separate"/>
            </w:r>
            <w:r w:rsidRPr="003377ED">
              <w:rPr>
                <w:rFonts w:ascii="Times New Roman" w:eastAsia="Times New Roman" w:hAnsi="Times New Roman" w:cs="Arial"/>
                <w:kern w:val="0"/>
                <w:sz w:val="22"/>
                <w:szCs w:val="22"/>
                <w:lang w:eastAsia="pl-PL"/>
                <w14:ligatures w14:val="none"/>
              </w:rPr>
              <w:fldChar w:fldCharType="end"/>
            </w:r>
            <w:r w:rsidRPr="003377ED">
              <w:rPr>
                <w:rFonts w:ascii="Times New Roman" w:eastAsia="Times New Roman" w:hAnsi="Times New Roman" w:cs="Arial"/>
                <w:kern w:val="0"/>
                <w:sz w:val="22"/>
                <w:szCs w:val="22"/>
                <w:lang w:eastAsia="pl-PL"/>
                <w14:ligatures w14:val="none"/>
              </w:rPr>
              <w:t xml:space="preserve"> nie dotyczy</w:t>
            </w:r>
          </w:p>
        </w:tc>
      </w:tr>
      <w:tr w:rsidR="00177F9E" w:rsidRPr="00177F9E" w14:paraId="6A0AFC69" w14:textId="77777777" w:rsidTr="00A67F48">
        <w:trPr>
          <w:trHeight w:val="408"/>
          <w:jc w:val="center"/>
        </w:trPr>
        <w:tc>
          <w:tcPr>
            <w:tcW w:w="10916" w:type="dxa"/>
            <w:gridSpan w:val="22"/>
            <w:shd w:val="clear" w:color="auto" w:fill="FFFFFF"/>
            <w:vAlign w:val="center"/>
          </w:tcPr>
          <w:p w14:paraId="62AE699B" w14:textId="0984ADB4" w:rsidR="00177F9E" w:rsidRPr="003377ED"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t>Komentarz: Możliwość świadczenia nieodpłatnej pomocy prawnej na odległość, może przyczynić się do skrócenia czasu na oczekiwanie na udzielenie pomocy w bardziej obciążonych punktach. Umożliwi korzystanie z pomocy osobom przebywającym poza granicami kraju. Pozwoli wykorzystać możliwości specjalizacji punktów, jaką już przewiduje ustawa (zamiast „ogólnego” doradcy w najbliższym punkcie stacjonarnym, beneficjent zyska możliwość dostępu do doradcy wyspecjalizowanego w potrzebnym mu zagadnieniu w innym punkcie). Zniesienie obowiązku składania pisemnego oświadczenia o niemożności poniesienia kosztów odpłatnej pomocy prawnej przyczyni się do zmniejszenia biurokracji i</w:t>
            </w:r>
            <w:r w:rsidR="00C772D4" w:rsidRPr="003377ED">
              <w:rPr>
                <w:rFonts w:ascii="Times New Roman" w:eastAsia="Times New Roman" w:hAnsi="Times New Roman" w:cs="Arial"/>
                <w:kern w:val="0"/>
                <w:sz w:val="22"/>
                <w:szCs w:val="22"/>
                <w:lang w:eastAsia="pl-PL"/>
                <w14:ligatures w14:val="none"/>
              </w:rPr>
              <w:t> </w:t>
            </w:r>
            <w:r w:rsidRPr="003377ED">
              <w:rPr>
                <w:rFonts w:ascii="Times New Roman" w:eastAsia="Times New Roman" w:hAnsi="Times New Roman" w:cs="Arial"/>
                <w:kern w:val="0"/>
                <w:sz w:val="22"/>
                <w:szCs w:val="22"/>
                <w:lang w:eastAsia="pl-PL"/>
                <w14:ligatures w14:val="none"/>
              </w:rPr>
              <w:t>liczby przechowywanych dokumentów.</w:t>
            </w:r>
          </w:p>
          <w:p w14:paraId="58164968"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Cs w:val="20"/>
                <w:lang w:eastAsia="pl-PL"/>
                <w14:ligatures w14:val="none"/>
              </w:rPr>
            </w:pPr>
            <w:r w:rsidRPr="003377ED">
              <w:rPr>
                <w:rFonts w:ascii="Times New Roman" w:eastAsia="Times New Roman" w:hAnsi="Times New Roman" w:cs="Arial"/>
                <w:kern w:val="0"/>
                <w:sz w:val="22"/>
                <w:szCs w:val="22"/>
                <w:lang w:eastAsia="pl-PL"/>
                <w14:ligatures w14:val="none"/>
              </w:rPr>
              <w:t>Osoba udzielająca nieodpłatnej pomocy prawnej lub świadcząca nieodpłatne poradnictwo obywatelskie ma obowiązek przebywania w punkcie podczas dyżuru.</w:t>
            </w:r>
          </w:p>
        </w:tc>
      </w:tr>
      <w:tr w:rsidR="00177F9E" w:rsidRPr="00177F9E" w14:paraId="19440558" w14:textId="77777777" w:rsidTr="00A67F48">
        <w:trPr>
          <w:trHeight w:val="142"/>
          <w:jc w:val="center"/>
        </w:trPr>
        <w:tc>
          <w:tcPr>
            <w:tcW w:w="10916" w:type="dxa"/>
            <w:gridSpan w:val="22"/>
            <w:shd w:val="clear" w:color="auto" w:fill="99CCFF"/>
          </w:tcPr>
          <w:p w14:paraId="42823BFC" w14:textId="77777777" w:rsidR="00177F9E" w:rsidRPr="00177F9E" w:rsidRDefault="00177F9E" w:rsidP="00352C51">
            <w:pPr>
              <w:widowControl w:val="0"/>
              <w:autoSpaceDE w:val="0"/>
              <w:autoSpaceDN w:val="0"/>
              <w:adjustRightInd w:val="0"/>
              <w:spacing w:after="0" w:line="36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 xml:space="preserve">9. Wpływ na rynek pracy </w:t>
            </w:r>
          </w:p>
        </w:tc>
      </w:tr>
      <w:tr w:rsidR="00177F9E" w:rsidRPr="00177F9E" w14:paraId="18697BE2" w14:textId="77777777" w:rsidTr="00A67F48">
        <w:trPr>
          <w:trHeight w:val="142"/>
          <w:jc w:val="center"/>
        </w:trPr>
        <w:tc>
          <w:tcPr>
            <w:tcW w:w="10916" w:type="dxa"/>
            <w:gridSpan w:val="22"/>
            <w:shd w:val="clear" w:color="auto" w:fill="auto"/>
          </w:tcPr>
          <w:p w14:paraId="618DCFCB"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Projektowana regulacja nie będzie miała wpływu na rynek pracy.</w:t>
            </w:r>
          </w:p>
        </w:tc>
      </w:tr>
      <w:tr w:rsidR="00177F9E" w:rsidRPr="00177F9E" w14:paraId="38AF2BD6" w14:textId="77777777" w:rsidTr="00A67F48">
        <w:trPr>
          <w:trHeight w:val="142"/>
          <w:jc w:val="center"/>
        </w:trPr>
        <w:tc>
          <w:tcPr>
            <w:tcW w:w="10916" w:type="dxa"/>
            <w:gridSpan w:val="22"/>
            <w:shd w:val="clear" w:color="auto" w:fill="99CCFF"/>
          </w:tcPr>
          <w:p w14:paraId="21C25E7A"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10. Wpływ na pozostałe obszary</w:t>
            </w:r>
          </w:p>
        </w:tc>
      </w:tr>
      <w:tr w:rsidR="00177F9E" w:rsidRPr="00177F9E" w14:paraId="7B6B7CA2" w14:textId="77777777" w:rsidTr="00A67F48">
        <w:trPr>
          <w:trHeight w:val="1031"/>
          <w:jc w:val="center"/>
        </w:trPr>
        <w:tc>
          <w:tcPr>
            <w:tcW w:w="4390" w:type="dxa"/>
            <w:gridSpan w:val="5"/>
            <w:shd w:val="clear" w:color="auto" w:fill="FFFFFF"/>
          </w:tcPr>
          <w:p w14:paraId="33318F7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p>
          <w:p w14:paraId="0F591F66"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Wybór1"/>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środowisko naturalne</w:t>
            </w:r>
          </w:p>
          <w:p w14:paraId="69163FC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sytuacja i rozwój regionalny</w:t>
            </w:r>
          </w:p>
          <w:p w14:paraId="1598B5B1"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w:t>
            </w:r>
            <w:bookmarkStart w:id="4" w:name="_Hlk88562467"/>
            <w:r w:rsidRPr="00177F9E">
              <w:rPr>
                <w:rFonts w:ascii="Times New Roman" w:eastAsia="Times New Roman" w:hAnsi="Times New Roman" w:cs="Arial"/>
                <w:kern w:val="0"/>
                <w:sz w:val="22"/>
                <w:szCs w:val="22"/>
                <w:lang w:eastAsia="pl-PL"/>
                <w14:ligatures w14:val="none"/>
              </w:rPr>
              <w:t xml:space="preserve">sądy powszechne, administracyjne lub </w:t>
            </w:r>
            <w:r w:rsidRPr="00177F9E">
              <w:rPr>
                <w:rFonts w:ascii="Times New Roman" w:eastAsia="Times New Roman" w:hAnsi="Times New Roman" w:cs="Arial"/>
                <w:kern w:val="0"/>
                <w:sz w:val="22"/>
                <w:szCs w:val="22"/>
                <w:lang w:eastAsia="pl-PL"/>
                <w14:ligatures w14:val="none"/>
              </w:rPr>
              <w:lastRenderedPageBreak/>
              <w:t>wojskowe</w:t>
            </w:r>
            <w:bookmarkEnd w:id="4"/>
          </w:p>
        </w:tc>
        <w:tc>
          <w:tcPr>
            <w:tcW w:w="3250" w:type="dxa"/>
            <w:gridSpan w:val="10"/>
            <w:shd w:val="clear" w:color="auto" w:fill="FFFFFF"/>
          </w:tcPr>
          <w:p w14:paraId="1E7F1454"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p>
          <w:p w14:paraId="0C3BA9DE"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Wybór1"/>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demografia</w:t>
            </w:r>
          </w:p>
          <w:p w14:paraId="67F06AD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mienie państwowe</w:t>
            </w:r>
          </w:p>
          <w:p w14:paraId="0D3F6EA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Wybór1"/>
                  <w:enabled/>
                  <w:calcOnExit w:val="0"/>
                  <w:checkBox>
                    <w:sizeAuto/>
                    <w:default w:val="0"/>
                  </w:checkBox>
                </w:ffData>
              </w:fldChar>
            </w:r>
            <w:bookmarkStart w:id="5" w:name="Wybór1"/>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bookmarkEnd w:id="5"/>
            <w:r w:rsidRPr="00177F9E">
              <w:rPr>
                <w:rFonts w:ascii="Times New Roman" w:eastAsia="Times New Roman" w:hAnsi="Times New Roman" w:cs="Arial"/>
                <w:kern w:val="0"/>
                <w:sz w:val="22"/>
                <w:szCs w:val="22"/>
                <w:lang w:eastAsia="pl-PL"/>
                <w14:ligatures w14:val="none"/>
              </w:rPr>
              <w:t xml:space="preserve"> inne: </w:t>
            </w:r>
          </w:p>
          <w:p w14:paraId="5583FCFD"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p>
        </w:tc>
        <w:tc>
          <w:tcPr>
            <w:tcW w:w="3276" w:type="dxa"/>
            <w:gridSpan w:val="7"/>
            <w:shd w:val="clear" w:color="auto" w:fill="FFFFFF"/>
          </w:tcPr>
          <w:p w14:paraId="438D6255"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p>
          <w:p w14:paraId="22022A5A"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1"/>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informatyzacja</w:t>
            </w:r>
          </w:p>
          <w:p w14:paraId="481F7F82" w14:textId="77777777" w:rsidR="00177F9E" w:rsidRPr="00177F9E" w:rsidRDefault="00177F9E" w:rsidP="00177F9E">
            <w:pPr>
              <w:widowControl w:val="0"/>
              <w:autoSpaceDE w:val="0"/>
              <w:autoSpaceDN w:val="0"/>
              <w:adjustRightInd w:val="0"/>
              <w:spacing w:after="0" w:line="36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fldChar w:fldCharType="begin">
                <w:ffData>
                  <w:name w:val=""/>
                  <w:enabled/>
                  <w:calcOnExit w:val="0"/>
                  <w:checkBox>
                    <w:sizeAuto/>
                    <w:default w:val="0"/>
                  </w:checkBox>
                </w:ffData>
              </w:fldChar>
            </w:r>
            <w:r w:rsidRPr="00177F9E">
              <w:rPr>
                <w:rFonts w:ascii="Times New Roman" w:eastAsia="Times New Roman" w:hAnsi="Times New Roman" w:cs="Arial"/>
                <w:kern w:val="0"/>
                <w:sz w:val="22"/>
                <w:szCs w:val="22"/>
                <w:lang w:eastAsia="pl-PL"/>
                <w14:ligatures w14:val="none"/>
              </w:rPr>
              <w:instrText xml:space="preserve"> FORMCHECKBOX </w:instrText>
            </w:r>
            <w:r w:rsidRPr="00177F9E">
              <w:rPr>
                <w:rFonts w:ascii="Times New Roman" w:eastAsia="Times New Roman" w:hAnsi="Times New Roman" w:cs="Arial"/>
                <w:kern w:val="0"/>
                <w:sz w:val="22"/>
                <w:szCs w:val="22"/>
                <w:lang w:eastAsia="pl-PL"/>
                <w14:ligatures w14:val="none"/>
              </w:rPr>
            </w:r>
            <w:r w:rsidRPr="00177F9E">
              <w:rPr>
                <w:rFonts w:ascii="Times New Roman" w:eastAsia="Times New Roman" w:hAnsi="Times New Roman" w:cs="Arial"/>
                <w:kern w:val="0"/>
                <w:sz w:val="22"/>
                <w:szCs w:val="22"/>
                <w:lang w:eastAsia="pl-PL"/>
                <w14:ligatures w14:val="none"/>
              </w:rPr>
              <w:fldChar w:fldCharType="separate"/>
            </w:r>
            <w:r w:rsidRPr="00177F9E">
              <w:rPr>
                <w:rFonts w:ascii="Times New Roman" w:eastAsia="Times New Roman" w:hAnsi="Times New Roman" w:cs="Arial"/>
                <w:kern w:val="0"/>
                <w:sz w:val="22"/>
                <w:szCs w:val="22"/>
                <w:lang w:eastAsia="pl-PL"/>
                <w14:ligatures w14:val="none"/>
              </w:rPr>
              <w:fldChar w:fldCharType="end"/>
            </w:r>
            <w:r w:rsidRPr="00177F9E">
              <w:rPr>
                <w:rFonts w:ascii="Times New Roman" w:eastAsia="Times New Roman" w:hAnsi="Times New Roman" w:cs="Arial"/>
                <w:kern w:val="0"/>
                <w:sz w:val="22"/>
                <w:szCs w:val="22"/>
                <w:lang w:eastAsia="pl-PL"/>
                <w14:ligatures w14:val="none"/>
              </w:rPr>
              <w:t xml:space="preserve"> zdrowie</w:t>
            </w:r>
          </w:p>
        </w:tc>
      </w:tr>
      <w:tr w:rsidR="00177F9E" w:rsidRPr="00177F9E" w14:paraId="4048D82C" w14:textId="77777777" w:rsidTr="00A67F48">
        <w:trPr>
          <w:trHeight w:val="492"/>
          <w:jc w:val="center"/>
        </w:trPr>
        <w:tc>
          <w:tcPr>
            <w:tcW w:w="3349" w:type="dxa"/>
            <w:gridSpan w:val="3"/>
            <w:shd w:val="clear" w:color="auto" w:fill="FFFFFF"/>
            <w:vAlign w:val="center"/>
          </w:tcPr>
          <w:p w14:paraId="65994DF5"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Omówienie wpływu</w:t>
            </w:r>
          </w:p>
        </w:tc>
        <w:tc>
          <w:tcPr>
            <w:tcW w:w="7567" w:type="dxa"/>
            <w:gridSpan w:val="19"/>
            <w:shd w:val="clear" w:color="auto" w:fill="FFFFFF"/>
            <w:vAlign w:val="center"/>
          </w:tcPr>
          <w:p w14:paraId="45509AA0" w14:textId="77777777" w:rsidR="00177F9E" w:rsidRPr="00177F9E" w:rsidRDefault="00177F9E" w:rsidP="00352C51">
            <w:pPr>
              <w:widowControl w:val="0"/>
              <w:autoSpaceDE w:val="0"/>
              <w:autoSpaceDN w:val="0"/>
              <w:adjustRightInd w:val="0"/>
              <w:spacing w:after="0" w:line="240" w:lineRule="auto"/>
              <w:jc w:val="both"/>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Projektowana regulacja wpłynie możliwość świadczenia nieodpłatnej pomocy prawnej za pośrednictwem środków porozumiewania się na odległość dla wszystkich chętnych beneficjentów.</w:t>
            </w:r>
          </w:p>
        </w:tc>
      </w:tr>
      <w:tr w:rsidR="00177F9E" w:rsidRPr="00177F9E" w14:paraId="3C3EDA3D" w14:textId="77777777" w:rsidTr="00A67F48">
        <w:trPr>
          <w:trHeight w:val="142"/>
          <w:jc w:val="center"/>
        </w:trPr>
        <w:tc>
          <w:tcPr>
            <w:tcW w:w="10916" w:type="dxa"/>
            <w:gridSpan w:val="22"/>
            <w:shd w:val="clear" w:color="auto" w:fill="99CCFF"/>
          </w:tcPr>
          <w:p w14:paraId="4599E6FA" w14:textId="77777777" w:rsidR="00177F9E" w:rsidRPr="00177F9E" w:rsidRDefault="00177F9E" w:rsidP="00352C51">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11. Planowane wykonanie przepisów aktu prawnego</w:t>
            </w:r>
          </w:p>
        </w:tc>
      </w:tr>
      <w:tr w:rsidR="00177F9E" w:rsidRPr="00177F9E" w14:paraId="1070BD05" w14:textId="77777777" w:rsidTr="00A67F48">
        <w:trPr>
          <w:trHeight w:val="142"/>
          <w:jc w:val="center"/>
        </w:trPr>
        <w:tc>
          <w:tcPr>
            <w:tcW w:w="10916" w:type="dxa"/>
            <w:gridSpan w:val="22"/>
            <w:shd w:val="clear" w:color="auto" w:fill="FFFFFF"/>
          </w:tcPr>
          <w:p w14:paraId="524732B2" w14:textId="6F34E971" w:rsidR="00177F9E" w:rsidRPr="00177F9E" w:rsidRDefault="00177F9E" w:rsidP="003377ED">
            <w:pPr>
              <w:suppressAutoHyphens/>
              <w:autoSpaceDE w:val="0"/>
              <w:autoSpaceDN w:val="0"/>
              <w:adjustRightInd w:val="0"/>
              <w:spacing w:after="0" w:line="240" w:lineRule="auto"/>
              <w:jc w:val="both"/>
              <w:rPr>
                <w:rFonts w:ascii="Times" w:eastAsia="Times New Roman" w:hAnsi="Times" w:cs="Arial"/>
                <w:kern w:val="0"/>
                <w:sz w:val="22"/>
                <w:szCs w:val="22"/>
                <w:lang w:eastAsia="pl-PL"/>
                <w14:ligatures w14:val="none"/>
              </w:rPr>
            </w:pPr>
            <w:r w:rsidRPr="00177F9E">
              <w:rPr>
                <w:rFonts w:ascii="Times" w:eastAsia="Times New Roman" w:hAnsi="Times" w:cs="Arial"/>
                <w:kern w:val="0"/>
                <w:sz w:val="22"/>
                <w:szCs w:val="22"/>
                <w:lang w:eastAsia="pl-PL"/>
                <w14:ligatures w14:val="none"/>
              </w:rPr>
              <w:t xml:space="preserve">Planuje się, aby ustawa weszła w życie po upływie 14 dni od dnia ogłoszenia, </w:t>
            </w:r>
            <w:r w:rsidR="00276989">
              <w:rPr>
                <w:rFonts w:ascii="Times" w:eastAsia="Times New Roman" w:hAnsi="Times" w:cs="Arial"/>
                <w:kern w:val="0"/>
                <w:sz w:val="22"/>
                <w:szCs w:val="22"/>
                <w:lang w:eastAsia="pl-PL"/>
                <w14:ligatures w14:val="none"/>
              </w:rPr>
              <w:t xml:space="preserve">z wyjątkiem </w:t>
            </w:r>
            <w:r w:rsidRPr="00177F9E">
              <w:rPr>
                <w:rFonts w:ascii="Times" w:eastAsia="Times New Roman" w:hAnsi="Times" w:cs="Arial"/>
                <w:kern w:val="0"/>
                <w:sz w:val="22"/>
                <w:szCs w:val="22"/>
                <w:lang w:eastAsia="pl-PL"/>
                <w14:ligatures w14:val="none"/>
              </w:rPr>
              <w:t>przepisów dotyczących wprowadzenia porad zdalnych</w:t>
            </w:r>
            <w:r w:rsidR="00BE0110">
              <w:rPr>
                <w:rFonts w:ascii="Times" w:eastAsia="Times New Roman" w:hAnsi="Times" w:cs="Arial"/>
                <w:kern w:val="0"/>
                <w:sz w:val="22"/>
                <w:szCs w:val="22"/>
                <w:lang w:eastAsia="pl-PL"/>
                <w14:ligatures w14:val="none"/>
              </w:rPr>
              <w:t xml:space="preserve"> (art. 1 pkt 3, 4 i 7 projektu ustawy)</w:t>
            </w:r>
            <w:r w:rsidRPr="00177F9E">
              <w:rPr>
                <w:rFonts w:ascii="Times" w:eastAsia="Times New Roman" w:hAnsi="Times" w:cs="Arial"/>
                <w:kern w:val="0"/>
                <w:sz w:val="22"/>
                <w:szCs w:val="22"/>
                <w:lang w:eastAsia="pl-PL"/>
                <w14:ligatures w14:val="none"/>
              </w:rPr>
              <w:t xml:space="preserve">, które </w:t>
            </w:r>
            <w:r w:rsidR="00BE0110">
              <w:rPr>
                <w:rFonts w:ascii="Times" w:eastAsia="Times New Roman" w:hAnsi="Times" w:cs="Arial"/>
                <w:kern w:val="0"/>
                <w:sz w:val="22"/>
                <w:szCs w:val="22"/>
                <w:lang w:eastAsia="pl-PL"/>
                <w14:ligatures w14:val="none"/>
              </w:rPr>
              <w:t xml:space="preserve">wejdą </w:t>
            </w:r>
            <w:r w:rsidRPr="00177F9E">
              <w:rPr>
                <w:rFonts w:ascii="Times" w:eastAsia="Times New Roman" w:hAnsi="Times" w:cs="Arial"/>
                <w:kern w:val="0"/>
                <w:sz w:val="22"/>
                <w:szCs w:val="22"/>
                <w:lang w:eastAsia="pl-PL"/>
                <w14:ligatures w14:val="none"/>
              </w:rPr>
              <w:t>w życi</w:t>
            </w:r>
            <w:r w:rsidR="007333C7">
              <w:rPr>
                <w:rFonts w:ascii="Times" w:eastAsia="Times New Roman" w:hAnsi="Times" w:cs="Arial"/>
                <w:kern w:val="0"/>
                <w:sz w:val="22"/>
                <w:szCs w:val="22"/>
                <w:lang w:eastAsia="pl-PL"/>
                <w14:ligatures w14:val="none"/>
              </w:rPr>
              <w:t>e</w:t>
            </w:r>
            <w:r w:rsidRPr="00177F9E">
              <w:rPr>
                <w:rFonts w:ascii="Times" w:eastAsia="Times New Roman" w:hAnsi="Times" w:cs="Arial"/>
                <w:kern w:val="0"/>
                <w:sz w:val="22"/>
                <w:szCs w:val="22"/>
                <w:lang w:eastAsia="pl-PL"/>
                <w14:ligatures w14:val="none"/>
              </w:rPr>
              <w:t xml:space="preserve"> </w:t>
            </w:r>
            <w:r w:rsidR="00BE0110">
              <w:rPr>
                <w:rFonts w:ascii="Times" w:eastAsia="Times New Roman" w:hAnsi="Times" w:cs="Arial"/>
                <w:kern w:val="0"/>
                <w:sz w:val="22"/>
                <w:szCs w:val="22"/>
                <w:lang w:eastAsia="pl-PL"/>
                <w14:ligatures w14:val="none"/>
              </w:rPr>
              <w:t>z</w:t>
            </w:r>
            <w:r w:rsidRPr="00177F9E">
              <w:rPr>
                <w:rFonts w:ascii="Times" w:eastAsia="Times New Roman" w:hAnsi="Times" w:cs="Arial"/>
                <w:kern w:val="0"/>
                <w:sz w:val="22"/>
                <w:szCs w:val="22"/>
                <w:lang w:eastAsia="pl-PL"/>
                <w14:ligatures w14:val="none"/>
              </w:rPr>
              <w:t xml:space="preserve"> dni</w:t>
            </w:r>
            <w:r w:rsidR="00BE0110">
              <w:rPr>
                <w:rFonts w:ascii="Times" w:eastAsia="Times New Roman" w:hAnsi="Times" w:cs="Arial"/>
                <w:kern w:val="0"/>
                <w:sz w:val="22"/>
                <w:szCs w:val="22"/>
                <w:lang w:eastAsia="pl-PL"/>
                <w14:ligatures w14:val="none"/>
              </w:rPr>
              <w:t>em</w:t>
            </w:r>
            <w:r w:rsidRPr="00177F9E">
              <w:rPr>
                <w:rFonts w:ascii="Times" w:eastAsia="Times New Roman" w:hAnsi="Times" w:cs="Arial"/>
                <w:kern w:val="0"/>
                <w:sz w:val="22"/>
                <w:szCs w:val="22"/>
                <w:lang w:eastAsia="pl-PL"/>
                <w14:ligatures w14:val="none"/>
              </w:rPr>
              <w:t xml:space="preserve"> 1 lipca 2025 r. Czas ten pozwoli na </w:t>
            </w:r>
            <w:r w:rsidR="003377ED">
              <w:rPr>
                <w:rFonts w:ascii="Times" w:eastAsia="Times New Roman" w:hAnsi="Times" w:cs="Arial"/>
                <w:kern w:val="0"/>
                <w:sz w:val="22"/>
                <w:szCs w:val="22"/>
                <w:lang w:eastAsia="pl-PL"/>
                <w14:ligatures w14:val="none"/>
              </w:rPr>
              <w:t xml:space="preserve">należyte </w:t>
            </w:r>
            <w:r w:rsidRPr="00177F9E">
              <w:rPr>
                <w:rFonts w:ascii="Times" w:eastAsia="Times New Roman" w:hAnsi="Times" w:cs="Arial"/>
                <w:kern w:val="0"/>
                <w:sz w:val="22"/>
                <w:szCs w:val="22"/>
                <w:lang w:eastAsia="pl-PL"/>
                <w14:ligatures w14:val="none"/>
              </w:rPr>
              <w:t>przygotowanie powiatów do realizacji tego zadania zleconego</w:t>
            </w:r>
            <w:r w:rsidR="00DE5637">
              <w:rPr>
                <w:rFonts w:ascii="Times" w:eastAsia="Times New Roman" w:hAnsi="Times" w:cs="Arial"/>
                <w:kern w:val="0"/>
                <w:sz w:val="22"/>
                <w:szCs w:val="22"/>
                <w:lang w:eastAsia="pl-PL"/>
                <w14:ligatures w14:val="none"/>
              </w:rPr>
              <w:t>.</w:t>
            </w:r>
          </w:p>
        </w:tc>
      </w:tr>
      <w:tr w:rsidR="00177F9E" w:rsidRPr="00177F9E" w14:paraId="15CC72E7" w14:textId="77777777" w:rsidTr="00A67F48">
        <w:trPr>
          <w:trHeight w:val="142"/>
          <w:jc w:val="center"/>
        </w:trPr>
        <w:tc>
          <w:tcPr>
            <w:tcW w:w="10916" w:type="dxa"/>
            <w:gridSpan w:val="22"/>
            <w:shd w:val="clear" w:color="auto" w:fill="99CCFF"/>
          </w:tcPr>
          <w:p w14:paraId="501020F0" w14:textId="77777777"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 xml:space="preserve"> 12. W jaki sposób i kiedy nastąpi ewaluacja efektów projektu oraz jakie mierniki zostaną zastosowane?</w:t>
            </w:r>
          </w:p>
        </w:tc>
      </w:tr>
      <w:tr w:rsidR="00177F9E" w:rsidRPr="00177F9E" w14:paraId="3A4985CB" w14:textId="77777777" w:rsidTr="00A67F48">
        <w:trPr>
          <w:trHeight w:val="142"/>
          <w:jc w:val="center"/>
        </w:trPr>
        <w:tc>
          <w:tcPr>
            <w:tcW w:w="10916" w:type="dxa"/>
            <w:gridSpan w:val="22"/>
            <w:shd w:val="clear" w:color="auto" w:fill="FFFFFF"/>
          </w:tcPr>
          <w:p w14:paraId="5F60C7FB" w14:textId="77777777"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Ewaluacja projektu może nastąpić po 3 latach od wejścia ustawy w życie.</w:t>
            </w:r>
          </w:p>
          <w:p w14:paraId="1EE4CDA4" w14:textId="77777777"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Planuje się zastosowanie następujących mierników:</w:t>
            </w:r>
          </w:p>
          <w:p w14:paraId="4AB1BDCE" w14:textId="42767D79"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liczba udzielonych porad</w:t>
            </w:r>
            <w:r w:rsidR="00062891">
              <w:rPr>
                <w:rFonts w:ascii="Times New Roman" w:eastAsia="Times New Roman" w:hAnsi="Times New Roman" w:cs="Arial"/>
                <w:kern w:val="0"/>
                <w:sz w:val="22"/>
                <w:szCs w:val="22"/>
                <w:lang w:eastAsia="pl-PL"/>
                <w14:ligatures w14:val="none"/>
              </w:rPr>
              <w:t>,</w:t>
            </w:r>
          </w:p>
          <w:p w14:paraId="1FCB6EA4" w14:textId="77DDBBDC"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177F9E">
              <w:rPr>
                <w:rFonts w:ascii="Times New Roman" w:eastAsia="Times New Roman" w:hAnsi="Times New Roman" w:cs="Arial"/>
                <w:kern w:val="0"/>
                <w:sz w:val="22"/>
                <w:szCs w:val="22"/>
                <w:lang w:eastAsia="pl-PL"/>
                <w14:ligatures w14:val="none"/>
              </w:rPr>
              <w:t>– liczba osób korzystających z nieodpłatnej pomocy prawnej</w:t>
            </w:r>
            <w:r w:rsidR="00062891">
              <w:rPr>
                <w:rFonts w:ascii="Times New Roman" w:eastAsia="Times New Roman" w:hAnsi="Times New Roman" w:cs="Arial"/>
                <w:kern w:val="0"/>
                <w:sz w:val="22"/>
                <w:szCs w:val="22"/>
                <w:lang w:eastAsia="pl-PL"/>
                <w14:ligatures w14:val="none"/>
              </w:rPr>
              <w:t>,</w:t>
            </w:r>
          </w:p>
          <w:p w14:paraId="5A604525" w14:textId="77777777"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kern w:val="0"/>
                <w:szCs w:val="20"/>
                <w:lang w:eastAsia="pl-PL"/>
                <w14:ligatures w14:val="none"/>
              </w:rPr>
            </w:pPr>
            <w:r w:rsidRPr="00177F9E">
              <w:rPr>
                <w:rFonts w:ascii="Times New Roman" w:eastAsia="Times New Roman" w:hAnsi="Times New Roman" w:cs="Arial"/>
                <w:kern w:val="0"/>
                <w:sz w:val="22"/>
                <w:szCs w:val="22"/>
                <w:lang w:eastAsia="pl-PL"/>
                <w14:ligatures w14:val="none"/>
              </w:rPr>
              <w:t>– liczba porad udzielonych poza punktem za pomocą środków porozumiewania się na odległość.</w:t>
            </w:r>
          </w:p>
        </w:tc>
      </w:tr>
      <w:tr w:rsidR="00177F9E" w:rsidRPr="00177F9E" w14:paraId="287D32C6" w14:textId="77777777" w:rsidTr="00A67F48">
        <w:trPr>
          <w:trHeight w:val="142"/>
          <w:jc w:val="center"/>
        </w:trPr>
        <w:tc>
          <w:tcPr>
            <w:tcW w:w="10916" w:type="dxa"/>
            <w:gridSpan w:val="22"/>
            <w:shd w:val="clear" w:color="auto" w:fill="99CCFF"/>
          </w:tcPr>
          <w:p w14:paraId="319E7F0F" w14:textId="77777777" w:rsidR="00177F9E" w:rsidRPr="00177F9E" w:rsidRDefault="00177F9E" w:rsidP="00B04695">
            <w:pPr>
              <w:widowControl w:val="0"/>
              <w:autoSpaceDE w:val="0"/>
              <w:autoSpaceDN w:val="0"/>
              <w:adjustRightInd w:val="0"/>
              <w:spacing w:after="0" w:line="240" w:lineRule="auto"/>
              <w:rPr>
                <w:rFonts w:ascii="Times New Roman" w:eastAsia="Times New Roman" w:hAnsi="Times New Roman" w:cs="Arial"/>
                <w:b/>
                <w:kern w:val="0"/>
                <w:sz w:val="22"/>
                <w:szCs w:val="22"/>
                <w:lang w:eastAsia="pl-PL"/>
                <w14:ligatures w14:val="none"/>
              </w:rPr>
            </w:pPr>
            <w:r w:rsidRPr="00177F9E">
              <w:rPr>
                <w:rFonts w:ascii="Times New Roman" w:eastAsia="Times New Roman" w:hAnsi="Times New Roman" w:cs="Arial"/>
                <w:b/>
                <w:kern w:val="0"/>
                <w:sz w:val="22"/>
                <w:szCs w:val="22"/>
                <w:lang w:eastAsia="pl-PL"/>
                <w14:ligatures w14:val="none"/>
              </w:rPr>
              <w:t xml:space="preserve">13. Załączniki (istotne dokumenty źródłowe, badania, analizy itp.) </w:t>
            </w:r>
          </w:p>
        </w:tc>
      </w:tr>
      <w:tr w:rsidR="00177F9E" w:rsidRPr="00177F9E" w14:paraId="4DF2FCDC" w14:textId="77777777" w:rsidTr="007333C7">
        <w:trPr>
          <w:trHeight w:val="136"/>
          <w:jc w:val="center"/>
        </w:trPr>
        <w:tc>
          <w:tcPr>
            <w:tcW w:w="10916" w:type="dxa"/>
            <w:gridSpan w:val="22"/>
            <w:shd w:val="clear" w:color="auto" w:fill="FFFFFF"/>
          </w:tcPr>
          <w:p w14:paraId="6611A4FA" w14:textId="5DC42A72" w:rsidR="00177F9E" w:rsidRPr="003377ED" w:rsidRDefault="00B04695" w:rsidP="00C02F84">
            <w:pPr>
              <w:widowControl w:val="0"/>
              <w:autoSpaceDE w:val="0"/>
              <w:autoSpaceDN w:val="0"/>
              <w:adjustRightInd w:val="0"/>
              <w:spacing w:after="0" w:line="240" w:lineRule="auto"/>
              <w:rPr>
                <w:rFonts w:ascii="Times New Roman" w:eastAsia="Times New Roman" w:hAnsi="Times New Roman" w:cs="Arial"/>
                <w:kern w:val="0"/>
                <w:sz w:val="22"/>
                <w:szCs w:val="22"/>
                <w:lang w:eastAsia="pl-PL"/>
                <w14:ligatures w14:val="none"/>
              </w:rPr>
            </w:pPr>
            <w:r w:rsidRPr="003377ED">
              <w:rPr>
                <w:rFonts w:ascii="Times New Roman" w:eastAsia="Times New Roman" w:hAnsi="Times New Roman" w:cs="Arial"/>
                <w:kern w:val="0"/>
                <w:sz w:val="22"/>
                <w:szCs w:val="22"/>
                <w:lang w:eastAsia="pl-PL"/>
                <w14:ligatures w14:val="none"/>
              </w:rPr>
              <w:t>Brak.</w:t>
            </w:r>
          </w:p>
        </w:tc>
      </w:tr>
    </w:tbl>
    <w:p w14:paraId="142B50F9" w14:textId="77777777" w:rsidR="003202E9" w:rsidRDefault="003202E9"/>
    <w:sectPr w:rsidR="003202E9" w:rsidSect="00177F9E">
      <w:headerReference w:type="default" r:id="rId8"/>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84D3" w14:textId="77777777" w:rsidR="007D0BD3" w:rsidRDefault="007D0BD3" w:rsidP="001A5F78">
      <w:pPr>
        <w:spacing w:after="0" w:line="240" w:lineRule="auto"/>
      </w:pPr>
      <w:r>
        <w:separator/>
      </w:r>
    </w:p>
  </w:endnote>
  <w:endnote w:type="continuationSeparator" w:id="0">
    <w:p w14:paraId="4132072F" w14:textId="77777777" w:rsidR="007D0BD3" w:rsidRDefault="007D0BD3" w:rsidP="001A5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FE41D" w14:textId="77777777" w:rsidR="007D0BD3" w:rsidRDefault="007D0BD3" w:rsidP="001A5F78">
      <w:pPr>
        <w:spacing w:after="0" w:line="240" w:lineRule="auto"/>
      </w:pPr>
      <w:r>
        <w:separator/>
      </w:r>
    </w:p>
  </w:footnote>
  <w:footnote w:type="continuationSeparator" w:id="0">
    <w:p w14:paraId="4DEBB261" w14:textId="77777777" w:rsidR="007D0BD3" w:rsidRDefault="007D0BD3" w:rsidP="001A5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9753F" w14:textId="77777777" w:rsidR="00190EE9" w:rsidRPr="00B371CC" w:rsidRDefault="004718E7"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E4C9F"/>
    <w:multiLevelType w:val="hybridMultilevel"/>
    <w:tmpl w:val="0AACD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F23A36"/>
    <w:multiLevelType w:val="hybridMultilevel"/>
    <w:tmpl w:val="DF345DC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 w15:restartNumberingAfterBreak="0">
    <w:nsid w:val="2E8E4631"/>
    <w:multiLevelType w:val="hybridMultilevel"/>
    <w:tmpl w:val="0A8A9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5C6A98"/>
    <w:multiLevelType w:val="hybridMultilevel"/>
    <w:tmpl w:val="4798E5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4E3476"/>
    <w:multiLevelType w:val="hybridMultilevel"/>
    <w:tmpl w:val="03482B62"/>
    <w:lvl w:ilvl="0" w:tplc="DD1AC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E281994"/>
    <w:multiLevelType w:val="hybridMultilevel"/>
    <w:tmpl w:val="E424E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2868417">
    <w:abstractNumId w:val="1"/>
  </w:num>
  <w:num w:numId="2" w16cid:durableId="1379161584">
    <w:abstractNumId w:val="2"/>
  </w:num>
  <w:num w:numId="3" w16cid:durableId="1914663541">
    <w:abstractNumId w:val="3"/>
  </w:num>
  <w:num w:numId="4" w16cid:durableId="1715305963">
    <w:abstractNumId w:val="4"/>
  </w:num>
  <w:num w:numId="5" w16cid:durableId="1933660925">
    <w:abstractNumId w:val="5"/>
  </w:num>
  <w:num w:numId="6" w16cid:durableId="445658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9E"/>
    <w:rsid w:val="00062891"/>
    <w:rsid w:val="00083FBA"/>
    <w:rsid w:val="000E3A9C"/>
    <w:rsid w:val="000F2584"/>
    <w:rsid w:val="000F4267"/>
    <w:rsid w:val="00111B9D"/>
    <w:rsid w:val="001339D4"/>
    <w:rsid w:val="00172C29"/>
    <w:rsid w:val="00177F9E"/>
    <w:rsid w:val="00190EE9"/>
    <w:rsid w:val="001A5F78"/>
    <w:rsid w:val="002156D2"/>
    <w:rsid w:val="00254FCB"/>
    <w:rsid w:val="00270AE3"/>
    <w:rsid w:val="00273F91"/>
    <w:rsid w:val="00276989"/>
    <w:rsid w:val="002C2030"/>
    <w:rsid w:val="003202E9"/>
    <w:rsid w:val="003377ED"/>
    <w:rsid w:val="00352C51"/>
    <w:rsid w:val="003B41B6"/>
    <w:rsid w:val="003C279F"/>
    <w:rsid w:val="00403230"/>
    <w:rsid w:val="004050B0"/>
    <w:rsid w:val="00411109"/>
    <w:rsid w:val="0041347A"/>
    <w:rsid w:val="00415552"/>
    <w:rsid w:val="00440A76"/>
    <w:rsid w:val="004718E7"/>
    <w:rsid w:val="004A4F73"/>
    <w:rsid w:val="004B140C"/>
    <w:rsid w:val="004D6297"/>
    <w:rsid w:val="004F4E95"/>
    <w:rsid w:val="00535A13"/>
    <w:rsid w:val="00554280"/>
    <w:rsid w:val="0055679E"/>
    <w:rsid w:val="00615DAB"/>
    <w:rsid w:val="00626855"/>
    <w:rsid w:val="00673749"/>
    <w:rsid w:val="006C0FB0"/>
    <w:rsid w:val="006F1B53"/>
    <w:rsid w:val="006F29B0"/>
    <w:rsid w:val="00700BF2"/>
    <w:rsid w:val="007312AD"/>
    <w:rsid w:val="007333C7"/>
    <w:rsid w:val="00766403"/>
    <w:rsid w:val="007D0BD3"/>
    <w:rsid w:val="007D207C"/>
    <w:rsid w:val="007E4D94"/>
    <w:rsid w:val="008044B1"/>
    <w:rsid w:val="00810646"/>
    <w:rsid w:val="00884F73"/>
    <w:rsid w:val="00885C9B"/>
    <w:rsid w:val="008A5BAE"/>
    <w:rsid w:val="008B1B0F"/>
    <w:rsid w:val="009E377C"/>
    <w:rsid w:val="00A052CA"/>
    <w:rsid w:val="00A366E5"/>
    <w:rsid w:val="00A74002"/>
    <w:rsid w:val="00AA4075"/>
    <w:rsid w:val="00AF6DD3"/>
    <w:rsid w:val="00B0157E"/>
    <w:rsid w:val="00B04695"/>
    <w:rsid w:val="00B100A9"/>
    <w:rsid w:val="00B82B2C"/>
    <w:rsid w:val="00BE0110"/>
    <w:rsid w:val="00C02F84"/>
    <w:rsid w:val="00C36880"/>
    <w:rsid w:val="00C62BF7"/>
    <w:rsid w:val="00C772D4"/>
    <w:rsid w:val="00C85EB3"/>
    <w:rsid w:val="00CF0E34"/>
    <w:rsid w:val="00D128D7"/>
    <w:rsid w:val="00D16132"/>
    <w:rsid w:val="00D2245D"/>
    <w:rsid w:val="00D8548D"/>
    <w:rsid w:val="00DE27D0"/>
    <w:rsid w:val="00DE5637"/>
    <w:rsid w:val="00E52ACF"/>
    <w:rsid w:val="00E85E6F"/>
    <w:rsid w:val="00F27116"/>
    <w:rsid w:val="00F9246F"/>
    <w:rsid w:val="00FB147B"/>
    <w:rsid w:val="00FD48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21638"/>
  <w15:chartTrackingRefBased/>
  <w15:docId w15:val="{538BFA3D-7D52-41FD-A9A3-C038D021C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77F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77F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77F9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77F9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77F9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77F9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77F9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77F9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77F9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7F9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77F9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77F9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77F9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77F9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77F9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77F9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77F9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77F9E"/>
    <w:rPr>
      <w:rFonts w:eastAsiaTheme="majorEastAsia" w:cstheme="majorBidi"/>
      <w:color w:val="272727" w:themeColor="text1" w:themeTint="D8"/>
    </w:rPr>
  </w:style>
  <w:style w:type="paragraph" w:styleId="Tytu">
    <w:name w:val="Title"/>
    <w:basedOn w:val="Normalny"/>
    <w:next w:val="Normalny"/>
    <w:link w:val="TytuZnak"/>
    <w:uiPriority w:val="10"/>
    <w:qFormat/>
    <w:rsid w:val="00177F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7F9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77F9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77F9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77F9E"/>
    <w:pPr>
      <w:spacing w:before="160"/>
      <w:jc w:val="center"/>
    </w:pPr>
    <w:rPr>
      <w:i/>
      <w:iCs/>
      <w:color w:val="404040" w:themeColor="text1" w:themeTint="BF"/>
    </w:rPr>
  </w:style>
  <w:style w:type="character" w:customStyle="1" w:styleId="CytatZnak">
    <w:name w:val="Cytat Znak"/>
    <w:basedOn w:val="Domylnaczcionkaakapitu"/>
    <w:link w:val="Cytat"/>
    <w:uiPriority w:val="29"/>
    <w:rsid w:val="00177F9E"/>
    <w:rPr>
      <w:i/>
      <w:iCs/>
      <w:color w:val="404040" w:themeColor="text1" w:themeTint="BF"/>
    </w:rPr>
  </w:style>
  <w:style w:type="paragraph" w:styleId="Akapitzlist">
    <w:name w:val="List Paragraph"/>
    <w:basedOn w:val="Normalny"/>
    <w:uiPriority w:val="34"/>
    <w:qFormat/>
    <w:rsid w:val="00177F9E"/>
    <w:pPr>
      <w:ind w:left="720"/>
      <w:contextualSpacing/>
    </w:pPr>
  </w:style>
  <w:style w:type="character" w:styleId="Wyrnienieintensywne">
    <w:name w:val="Intense Emphasis"/>
    <w:basedOn w:val="Domylnaczcionkaakapitu"/>
    <w:uiPriority w:val="21"/>
    <w:qFormat/>
    <w:rsid w:val="00177F9E"/>
    <w:rPr>
      <w:i/>
      <w:iCs/>
      <w:color w:val="0F4761" w:themeColor="accent1" w:themeShade="BF"/>
    </w:rPr>
  </w:style>
  <w:style w:type="paragraph" w:styleId="Cytatintensywny">
    <w:name w:val="Intense Quote"/>
    <w:basedOn w:val="Normalny"/>
    <w:next w:val="Normalny"/>
    <w:link w:val="CytatintensywnyZnak"/>
    <w:uiPriority w:val="30"/>
    <w:qFormat/>
    <w:rsid w:val="00177F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77F9E"/>
    <w:rPr>
      <w:i/>
      <w:iCs/>
      <w:color w:val="0F4761" w:themeColor="accent1" w:themeShade="BF"/>
    </w:rPr>
  </w:style>
  <w:style w:type="character" w:styleId="Odwoanieintensywne">
    <w:name w:val="Intense Reference"/>
    <w:basedOn w:val="Domylnaczcionkaakapitu"/>
    <w:uiPriority w:val="32"/>
    <w:qFormat/>
    <w:rsid w:val="00177F9E"/>
    <w:rPr>
      <w:b/>
      <w:bCs/>
      <w:smallCaps/>
      <w:color w:val="0F4761" w:themeColor="accent1" w:themeShade="BF"/>
      <w:spacing w:val="5"/>
    </w:rPr>
  </w:style>
  <w:style w:type="paragraph" w:styleId="Nagwek">
    <w:name w:val="header"/>
    <w:basedOn w:val="Normalny"/>
    <w:link w:val="NagwekZnak"/>
    <w:uiPriority w:val="99"/>
    <w:unhideWhenUsed/>
    <w:rsid w:val="00177F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7F9E"/>
  </w:style>
  <w:style w:type="paragraph" w:styleId="Stopka">
    <w:name w:val="footer"/>
    <w:basedOn w:val="Normalny"/>
    <w:link w:val="StopkaZnak"/>
    <w:uiPriority w:val="99"/>
    <w:unhideWhenUsed/>
    <w:rsid w:val="001A5F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5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cin.noskowski@m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4021</Words>
  <Characters>24130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Świątek Katarzyna  (DL)</dc:creator>
  <cp:keywords/>
  <dc:description/>
  <cp:lastModifiedBy>Pałka Zbigniew  (DL)</cp:lastModifiedBy>
  <cp:revision>3</cp:revision>
  <dcterms:created xsi:type="dcterms:W3CDTF">2025-02-07T10:08:00Z</dcterms:created>
  <dcterms:modified xsi:type="dcterms:W3CDTF">2025-02-07T12:11:00Z</dcterms:modified>
</cp:coreProperties>
</file>